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7BBB41D5" w14:textId="793AE1DC" w:rsidR="00D15EB6" w:rsidRDefault="00E122BF" w:rsidP="00167B25">
      <w:pPr>
        <w:tabs>
          <w:tab w:val="right" w:pos="9360"/>
        </w:tabs>
      </w:pPr>
      <w:r w:rsidRPr="00E122BF">
        <w:rPr>
          <w:noProof/>
        </w:rPr>
        <w:drawing>
          <wp:anchor distT="0" distB="0" distL="114300" distR="114300" simplePos="0" relativeHeight="251712512" behindDoc="0" locked="0" layoutInCell="1" allowOverlap="1" wp14:anchorId="04426A68" wp14:editId="2C472723">
            <wp:simplePos x="0" y="0"/>
            <wp:positionH relativeFrom="page">
              <wp:align>left</wp:align>
            </wp:positionH>
            <wp:positionV relativeFrom="page">
              <wp:align>top</wp:align>
            </wp:positionV>
            <wp:extent cx="7804298" cy="10108067"/>
            <wp:effectExtent l="0" t="0" r="6350" b="762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7812597" cy="10118816"/>
                    </a:xfrm>
                    <a:prstGeom prst="rect">
                      <a:avLst/>
                    </a:prstGeom>
                  </pic:spPr>
                </pic:pic>
              </a:graphicData>
            </a:graphic>
            <wp14:sizeRelH relativeFrom="margin">
              <wp14:pctWidth>0</wp14:pctWidth>
            </wp14:sizeRelH>
            <wp14:sizeRelV relativeFrom="margin">
              <wp14:pctHeight>0</wp14:pctHeight>
            </wp14:sizeRelV>
          </wp:anchor>
        </w:drawing>
      </w:r>
    </w:p>
    <w:p w14:paraId="00158547" w14:textId="357C3646" w:rsidR="00D15EB6" w:rsidRDefault="00D15EB6" w:rsidP="00167B25">
      <w:pPr>
        <w:tabs>
          <w:tab w:val="right" w:pos="9360"/>
        </w:tabs>
        <w:sectPr w:rsidR="00D15EB6" w:rsidSect="0084323F">
          <w:footerReference w:type="even" r:id="rId20"/>
          <w:footerReference w:type="default" r:id="rId21"/>
          <w:pgSz w:w="12240" w:h="15840"/>
          <w:pgMar w:top="1440" w:right="1440" w:bottom="1440" w:left="1440" w:header="0" w:footer="288" w:gutter="0"/>
          <w:pgNumType w:fmt="lowerRoman" w:start="1"/>
          <w:cols w:space="720"/>
          <w:docGrid w:linePitch="326"/>
        </w:sectPr>
      </w:pPr>
    </w:p>
    <w:p w14:paraId="3E1B1703" w14:textId="45190292" w:rsidR="00576A68" w:rsidRPr="004E69D2" w:rsidRDefault="00167B25" w:rsidP="00576A68">
      <w:r>
        <w:t xml:space="preserve">This document, the Cloud Acquisition Professional’s Cloud Adoption Survival Tips, Lessons, and Experiences (CASTLE) Guide, is </w:t>
      </w:r>
      <w:r w:rsidR="001D74C2" w:rsidRPr="00C97B2E">
        <w:t xml:space="preserve">authored in partnership </w:t>
      </w:r>
      <w:r w:rsidR="001D74C2">
        <w:t xml:space="preserve">with </w:t>
      </w:r>
      <w:r w:rsidR="001D74C2" w:rsidRPr="00576A68">
        <w:t>Cloud Center of Excellence (CCoE)</w:t>
      </w:r>
      <w:r w:rsidR="00576A68" w:rsidRPr="00576A68">
        <w:t>.</w:t>
      </w:r>
    </w:p>
    <w:p w14:paraId="51C16756" w14:textId="6CC5A46C" w:rsidR="00576A68" w:rsidRPr="004E69D2" w:rsidRDefault="00576A68" w:rsidP="00576A68">
      <w:r w:rsidRPr="00B544D0">
        <w:rPr>
          <w:b/>
        </w:rPr>
        <w:t>Purpose:</w:t>
      </w:r>
      <w:r w:rsidRPr="00B544D0">
        <w:t xml:space="preserve"> The </w:t>
      </w:r>
      <w:r w:rsidR="00167B25">
        <w:t xml:space="preserve">CASTLE Guide </w:t>
      </w:r>
      <w:r w:rsidRPr="00B544D0">
        <w:t>will support program managers</w:t>
      </w:r>
      <w:r w:rsidR="009F2CBF">
        <w:t xml:space="preserve"> (PMs)</w:t>
      </w:r>
      <w:r w:rsidRPr="00B544D0">
        <w:t xml:space="preserve">, contracting officers </w:t>
      </w:r>
      <w:r w:rsidR="009F2CBF">
        <w:t xml:space="preserve">(COs) </w:t>
      </w:r>
      <w:r w:rsidRPr="00B544D0">
        <w:t>and other stakeholders in federal acquisition planning for cloud computing services.</w:t>
      </w:r>
      <w:r w:rsidRPr="00576A68">
        <w:t xml:space="preserve"> </w:t>
      </w:r>
      <w:r w:rsidR="00167B25" w:rsidRPr="00B544D3">
        <w:t xml:space="preserve">The CASTLE Guide </w:t>
      </w:r>
      <w:r w:rsidR="00306345" w:rsidRPr="00B544D3">
        <w:t xml:space="preserve">assumes that the decision to pursue a cloud computing based IT solution has been made and that </w:t>
      </w:r>
      <w:r w:rsidR="00A15EA1" w:rsidRPr="00B544D3">
        <w:t xml:space="preserve">the </w:t>
      </w:r>
      <w:r w:rsidR="00306345" w:rsidRPr="00B544D3">
        <w:t xml:space="preserve">associated analysis, tradeoff comparisons, business cases, </w:t>
      </w:r>
      <w:r w:rsidR="00B544D3" w:rsidRPr="00B544D3">
        <w:t xml:space="preserve">and other </w:t>
      </w:r>
      <w:r w:rsidR="00306345" w:rsidRPr="00B544D3">
        <w:t xml:space="preserve">appropriate </w:t>
      </w:r>
      <w:r w:rsidR="00B544D3" w:rsidRPr="00B544D3">
        <w:t xml:space="preserve">IT business process analysis have all </w:t>
      </w:r>
      <w:r w:rsidR="00306345" w:rsidRPr="00B544D3">
        <w:t>justified a cloud approach.</w:t>
      </w:r>
      <w:r w:rsidR="00306345" w:rsidRPr="00576A68" w:rsidDel="00306345">
        <w:t xml:space="preserve"> </w:t>
      </w:r>
    </w:p>
    <w:p w14:paraId="03A61DF8" w14:textId="1D521933" w:rsidR="00576A68" w:rsidRPr="004E69D2" w:rsidRDefault="00576A68" w:rsidP="00576A68">
      <w:r w:rsidRPr="00B544D0">
        <w:rPr>
          <w:b/>
        </w:rPr>
        <w:t>Description:</w:t>
      </w:r>
      <w:r w:rsidRPr="00576A68">
        <w:t xml:space="preserve"> </w:t>
      </w:r>
      <w:r w:rsidR="00D27E8E" w:rsidRPr="00B544D0">
        <w:t xml:space="preserve">The </w:t>
      </w:r>
      <w:r w:rsidR="00D27E8E">
        <w:t xml:space="preserve">CASTLE Guide </w:t>
      </w:r>
      <w:r w:rsidRPr="00576A68">
        <w:t>approach define</w:t>
      </w:r>
      <w:r w:rsidR="00B76BFA">
        <w:t>s</w:t>
      </w:r>
      <w:r w:rsidRPr="00576A68">
        <w:t xml:space="preserve"> a representative set of conditions and allow</w:t>
      </w:r>
      <w:r w:rsidR="00B76BFA">
        <w:t>s</w:t>
      </w:r>
      <w:r w:rsidRPr="00576A68">
        <w:t xml:space="preserve"> agencies to match their condition to the different sets provided. </w:t>
      </w:r>
      <w:r w:rsidR="00EB0627">
        <w:t>Those conditions are matched to a corresponding and coordinated set of acquisiti</w:t>
      </w:r>
      <w:r w:rsidR="00D27E8E">
        <w:t>on information that constitute scenarios within the guide.</w:t>
      </w:r>
      <w:r w:rsidR="00EB0627">
        <w:t xml:space="preserve"> </w:t>
      </w:r>
      <w:r w:rsidRPr="00576A68">
        <w:t>The agency</w:t>
      </w:r>
      <w:r w:rsidR="00D27E8E">
        <w:t xml:space="preserve"> may then leverage the information provided within the guide as</w:t>
      </w:r>
      <w:r w:rsidRPr="00576A68">
        <w:t xml:space="preserve"> acquisition</w:t>
      </w:r>
      <w:r w:rsidR="00EB0627">
        <w:t>-</w:t>
      </w:r>
      <w:r w:rsidR="00D27E8E">
        <w:t>based guidance, but will need to tailor and supplement the information</w:t>
      </w:r>
      <w:r w:rsidRPr="00576A68">
        <w:t xml:space="preserve">. The </w:t>
      </w:r>
      <w:r w:rsidR="00D27E8E">
        <w:t>guide</w:t>
      </w:r>
      <w:r w:rsidRPr="00576A68">
        <w:t xml:space="preserve"> takes a narrow scope which includes </w:t>
      </w:r>
      <w:r w:rsidR="006C538E">
        <w:t>targeted</w:t>
      </w:r>
      <w:r w:rsidRPr="00576A68">
        <w:t xml:space="preserve"> acquisition based topics that have proven to be problematic in the procurement of </w:t>
      </w:r>
      <w:r w:rsidR="00B76BFA">
        <w:t xml:space="preserve">cloud computing </w:t>
      </w:r>
      <w:r w:rsidRPr="00576A68">
        <w:t>services</w:t>
      </w:r>
      <w:r w:rsidR="00D85030">
        <w:t xml:space="preserve">. </w:t>
      </w:r>
    </w:p>
    <w:p w14:paraId="0844F754" w14:textId="3F74C783" w:rsidR="00742FA8" w:rsidRDefault="00576A68" w:rsidP="00576A68">
      <w:r w:rsidRPr="00576A68">
        <w:t xml:space="preserve">The </w:t>
      </w:r>
      <w:r w:rsidR="00D27E8E">
        <w:t>guide’s</w:t>
      </w:r>
      <w:r w:rsidRPr="00576A68">
        <w:t xml:space="preserve"> scope is not all-inclusive </w:t>
      </w:r>
      <w:r w:rsidR="00D27E8E">
        <w:t>n</w:t>
      </w:r>
      <w:r w:rsidRPr="00576A68">
        <w:t xml:space="preserve">or </w:t>
      </w:r>
      <w:r w:rsidR="00D80847">
        <w:t>comprehensive</w:t>
      </w:r>
      <w:r w:rsidRPr="00576A68">
        <w:t xml:space="preserve">, but focused. The topics </w:t>
      </w:r>
      <w:r w:rsidR="001D74C2">
        <w:t>covered</w:t>
      </w:r>
      <w:r w:rsidRPr="00576A68">
        <w:t xml:space="preserve"> are the areas within an acquisition context that have proven</w:t>
      </w:r>
      <w:r w:rsidR="00EB0627">
        <w:t>,</w:t>
      </w:r>
      <w:r w:rsidRPr="00576A68">
        <w:t xml:space="preserve"> through experience and research, to have erected barriers to cloud acquisition for agencies. The expectation is </w:t>
      </w:r>
      <w:r w:rsidR="001D74C2">
        <w:t xml:space="preserve">the information in the </w:t>
      </w:r>
      <w:r w:rsidR="00223542">
        <w:t>Playbook</w:t>
      </w:r>
      <w:r w:rsidRPr="00576A68">
        <w:t xml:space="preserve"> will </w:t>
      </w:r>
      <w:r w:rsidR="001D74C2">
        <w:t xml:space="preserve">allow agencies to </w:t>
      </w:r>
      <w:r w:rsidRPr="00576A68">
        <w:t>mitigate</w:t>
      </w:r>
      <w:r w:rsidR="00947E0F">
        <w:t xml:space="preserve"> and</w:t>
      </w:r>
      <w:r w:rsidRPr="00576A68">
        <w:t xml:space="preserve"> </w:t>
      </w:r>
      <w:r w:rsidR="00EA173C">
        <w:t>smooth</w:t>
      </w:r>
      <w:r w:rsidRPr="00576A68">
        <w:t xml:space="preserve"> the acquisition</w:t>
      </w:r>
      <w:r w:rsidR="00EA173C">
        <w:t xml:space="preserve"> process</w:t>
      </w:r>
      <w:r w:rsidR="00EB0627">
        <w:t>,</w:t>
      </w:r>
      <w:r w:rsidRPr="00576A68">
        <w:t xml:space="preserve"> thus</w:t>
      </w:r>
      <w:r w:rsidR="00EA173C">
        <w:t xml:space="preserve"> </w:t>
      </w:r>
      <w:r w:rsidR="00947E0F">
        <w:t>increasing</w:t>
      </w:r>
      <w:r w:rsidR="00947E0F" w:rsidRPr="00576A68">
        <w:t xml:space="preserve"> </w:t>
      </w:r>
      <w:r w:rsidRPr="00576A68">
        <w:t xml:space="preserve">adoption of cloud services within the </w:t>
      </w:r>
      <w:r w:rsidR="00026614">
        <w:t>F</w:t>
      </w:r>
      <w:r w:rsidRPr="00576A68">
        <w:t xml:space="preserve">ederal </w:t>
      </w:r>
      <w:r w:rsidR="00026614">
        <w:t>G</w:t>
      </w:r>
      <w:r w:rsidRPr="00576A68">
        <w:t>overnment</w:t>
      </w:r>
      <w:r>
        <w:t>.</w:t>
      </w:r>
      <w:r w:rsidR="005A31BA">
        <w:br w:type="page"/>
      </w:r>
    </w:p>
    <w:bookmarkStart w:id="0" w:name="_Toc487802605" w:displacedByCustomXml="next"/>
    <w:sdt>
      <w:sdtPr>
        <w:rPr>
          <w:rFonts w:ascii="Arial" w:hAnsi="Arial"/>
          <w:b w:val="0"/>
          <w:bCs w:val="0"/>
          <w:i w:val="0"/>
          <w:color w:val="auto"/>
          <w:sz w:val="24"/>
          <w:szCs w:val="22"/>
          <w:u w:val="none"/>
        </w:rPr>
        <w:id w:val="-762370346"/>
        <w:docPartObj>
          <w:docPartGallery w:val="Table of Contents"/>
          <w:docPartUnique/>
        </w:docPartObj>
      </w:sdtPr>
      <w:sdtEndPr>
        <w:rPr>
          <w:noProof/>
        </w:rPr>
      </w:sdtEndPr>
      <w:sdtContent>
        <w:p w14:paraId="58D10657" w14:textId="0256FABA" w:rsidR="00266F2E" w:rsidRPr="00DD5C85" w:rsidRDefault="00D15EB6" w:rsidP="00A76CF5">
          <w:pPr>
            <w:pStyle w:val="TOCHeader1"/>
          </w:pPr>
          <w:r w:rsidRPr="00DD5C85">
            <w:t>Table of C</w:t>
          </w:r>
          <w:r w:rsidR="00266F2E" w:rsidRPr="00DD5C85">
            <w:t>ontents</w:t>
          </w:r>
          <w:bookmarkEnd w:id="0"/>
        </w:p>
        <w:p w14:paraId="3373DF30" w14:textId="286883DA" w:rsidR="00E122BF" w:rsidRDefault="00D15EB6">
          <w:pPr>
            <w:pStyle w:val="TOC1"/>
            <w:tabs>
              <w:tab w:val="right" w:leader="dot" w:pos="9350"/>
            </w:tabs>
            <w:rPr>
              <w:rFonts w:asciiTheme="minorHAnsi" w:eastAsiaTheme="minorEastAsia" w:hAnsiTheme="minorHAnsi"/>
              <w:noProof/>
              <w:sz w:val="22"/>
            </w:rPr>
          </w:pPr>
          <w:r>
            <w:fldChar w:fldCharType="begin"/>
          </w:r>
          <w:r>
            <w:instrText xml:space="preserve"> TOC \o "1-2" \h \z \u </w:instrText>
          </w:r>
          <w:r>
            <w:fldChar w:fldCharType="separate"/>
          </w:r>
          <w:hyperlink w:anchor="_Toc487802605" w:history="1">
            <w:r w:rsidR="00E122BF" w:rsidRPr="00DB639F">
              <w:rPr>
                <w:rStyle w:val="Hyperlink"/>
                <w:noProof/>
              </w:rPr>
              <w:t>Table of Contents</w:t>
            </w:r>
            <w:r w:rsidR="00E122BF">
              <w:rPr>
                <w:noProof/>
                <w:webHidden/>
              </w:rPr>
              <w:tab/>
            </w:r>
            <w:r w:rsidR="00E122BF">
              <w:rPr>
                <w:noProof/>
                <w:webHidden/>
              </w:rPr>
              <w:fldChar w:fldCharType="begin"/>
            </w:r>
            <w:r w:rsidR="00E122BF">
              <w:rPr>
                <w:noProof/>
                <w:webHidden/>
              </w:rPr>
              <w:instrText xml:space="preserve"> PAGEREF _Toc487802605 \h </w:instrText>
            </w:r>
            <w:r w:rsidR="00E122BF">
              <w:rPr>
                <w:noProof/>
                <w:webHidden/>
              </w:rPr>
            </w:r>
            <w:r w:rsidR="00E122BF">
              <w:rPr>
                <w:noProof/>
                <w:webHidden/>
              </w:rPr>
              <w:fldChar w:fldCharType="separate"/>
            </w:r>
            <w:r w:rsidR="00E122BF">
              <w:rPr>
                <w:noProof/>
                <w:webHidden/>
              </w:rPr>
              <w:t>ii</w:t>
            </w:r>
            <w:r w:rsidR="00E122BF">
              <w:rPr>
                <w:noProof/>
                <w:webHidden/>
              </w:rPr>
              <w:fldChar w:fldCharType="end"/>
            </w:r>
          </w:hyperlink>
        </w:p>
        <w:p w14:paraId="7F45F552" w14:textId="510510A0" w:rsidR="00E122BF" w:rsidRDefault="002E7682">
          <w:pPr>
            <w:pStyle w:val="TOC1"/>
            <w:tabs>
              <w:tab w:val="right" w:leader="dot" w:pos="9350"/>
            </w:tabs>
            <w:rPr>
              <w:rFonts w:asciiTheme="minorHAnsi" w:eastAsiaTheme="minorEastAsia" w:hAnsiTheme="minorHAnsi"/>
              <w:noProof/>
              <w:sz w:val="22"/>
            </w:rPr>
          </w:pPr>
          <w:hyperlink w:anchor="_Toc487802606" w:history="1">
            <w:r w:rsidR="00E122BF" w:rsidRPr="00DB639F">
              <w:rPr>
                <w:rStyle w:val="Hyperlink"/>
                <w:noProof/>
              </w:rPr>
              <w:t>Table of Exhibits</w:t>
            </w:r>
            <w:r w:rsidR="00E122BF">
              <w:rPr>
                <w:noProof/>
                <w:webHidden/>
              </w:rPr>
              <w:tab/>
            </w:r>
            <w:r w:rsidR="00E122BF">
              <w:rPr>
                <w:noProof/>
                <w:webHidden/>
              </w:rPr>
              <w:fldChar w:fldCharType="begin"/>
            </w:r>
            <w:r w:rsidR="00E122BF">
              <w:rPr>
                <w:noProof/>
                <w:webHidden/>
              </w:rPr>
              <w:instrText xml:space="preserve"> PAGEREF _Toc487802606 \h </w:instrText>
            </w:r>
            <w:r w:rsidR="00E122BF">
              <w:rPr>
                <w:noProof/>
                <w:webHidden/>
              </w:rPr>
            </w:r>
            <w:r w:rsidR="00E122BF">
              <w:rPr>
                <w:noProof/>
                <w:webHidden/>
              </w:rPr>
              <w:fldChar w:fldCharType="separate"/>
            </w:r>
            <w:r w:rsidR="00E122BF">
              <w:rPr>
                <w:noProof/>
                <w:webHidden/>
              </w:rPr>
              <w:t>iii</w:t>
            </w:r>
            <w:r w:rsidR="00E122BF">
              <w:rPr>
                <w:noProof/>
                <w:webHidden/>
              </w:rPr>
              <w:fldChar w:fldCharType="end"/>
            </w:r>
          </w:hyperlink>
        </w:p>
        <w:p w14:paraId="39E15688" w14:textId="20953A99" w:rsidR="00E122BF" w:rsidRDefault="002E7682">
          <w:pPr>
            <w:pStyle w:val="TOC1"/>
            <w:tabs>
              <w:tab w:val="right" w:leader="dot" w:pos="9350"/>
            </w:tabs>
            <w:rPr>
              <w:rFonts w:asciiTheme="minorHAnsi" w:eastAsiaTheme="minorEastAsia" w:hAnsiTheme="minorHAnsi"/>
              <w:noProof/>
              <w:sz w:val="22"/>
            </w:rPr>
          </w:pPr>
          <w:hyperlink w:anchor="_Toc487802607" w:history="1">
            <w:r w:rsidR="00E122BF" w:rsidRPr="00DB639F">
              <w:rPr>
                <w:rStyle w:val="Hyperlink"/>
                <w:noProof/>
              </w:rPr>
              <w:t>1. Introduction</w:t>
            </w:r>
            <w:r w:rsidR="00E122BF">
              <w:rPr>
                <w:noProof/>
                <w:webHidden/>
              </w:rPr>
              <w:tab/>
            </w:r>
            <w:r w:rsidR="00E122BF">
              <w:rPr>
                <w:noProof/>
                <w:webHidden/>
              </w:rPr>
              <w:fldChar w:fldCharType="begin"/>
            </w:r>
            <w:r w:rsidR="00E122BF">
              <w:rPr>
                <w:noProof/>
                <w:webHidden/>
              </w:rPr>
              <w:instrText xml:space="preserve"> PAGEREF _Toc487802607 \h </w:instrText>
            </w:r>
            <w:r w:rsidR="00E122BF">
              <w:rPr>
                <w:noProof/>
                <w:webHidden/>
              </w:rPr>
            </w:r>
            <w:r w:rsidR="00E122BF">
              <w:rPr>
                <w:noProof/>
                <w:webHidden/>
              </w:rPr>
              <w:fldChar w:fldCharType="separate"/>
            </w:r>
            <w:r w:rsidR="00E122BF">
              <w:rPr>
                <w:noProof/>
                <w:webHidden/>
              </w:rPr>
              <w:t>1</w:t>
            </w:r>
            <w:r w:rsidR="00E122BF">
              <w:rPr>
                <w:noProof/>
                <w:webHidden/>
              </w:rPr>
              <w:fldChar w:fldCharType="end"/>
            </w:r>
          </w:hyperlink>
        </w:p>
        <w:p w14:paraId="14C1701B" w14:textId="00222FBC" w:rsidR="00E122BF" w:rsidRDefault="002E7682">
          <w:pPr>
            <w:pStyle w:val="TOC2"/>
            <w:tabs>
              <w:tab w:val="right" w:leader="dot" w:pos="9350"/>
            </w:tabs>
            <w:rPr>
              <w:rFonts w:asciiTheme="minorHAnsi" w:eastAsiaTheme="minorEastAsia" w:hAnsiTheme="minorHAnsi"/>
              <w:noProof/>
              <w:sz w:val="22"/>
            </w:rPr>
          </w:pPr>
          <w:hyperlink w:anchor="_Toc487802608" w:history="1">
            <w:r w:rsidR="00E122BF" w:rsidRPr="00DB639F">
              <w:rPr>
                <w:rStyle w:val="Hyperlink"/>
                <w:noProof/>
              </w:rPr>
              <w:t>1.1 Cloud Computing Defined</w:t>
            </w:r>
            <w:r w:rsidR="00E122BF">
              <w:rPr>
                <w:noProof/>
                <w:webHidden/>
              </w:rPr>
              <w:tab/>
            </w:r>
            <w:r w:rsidR="00E122BF">
              <w:rPr>
                <w:noProof/>
                <w:webHidden/>
              </w:rPr>
              <w:fldChar w:fldCharType="begin"/>
            </w:r>
            <w:r w:rsidR="00E122BF">
              <w:rPr>
                <w:noProof/>
                <w:webHidden/>
              </w:rPr>
              <w:instrText xml:space="preserve"> PAGEREF _Toc487802608 \h </w:instrText>
            </w:r>
            <w:r w:rsidR="00E122BF">
              <w:rPr>
                <w:noProof/>
                <w:webHidden/>
              </w:rPr>
            </w:r>
            <w:r w:rsidR="00E122BF">
              <w:rPr>
                <w:noProof/>
                <w:webHidden/>
              </w:rPr>
              <w:fldChar w:fldCharType="separate"/>
            </w:r>
            <w:r w:rsidR="00E122BF">
              <w:rPr>
                <w:noProof/>
                <w:webHidden/>
              </w:rPr>
              <w:t>2</w:t>
            </w:r>
            <w:r w:rsidR="00E122BF">
              <w:rPr>
                <w:noProof/>
                <w:webHidden/>
              </w:rPr>
              <w:fldChar w:fldCharType="end"/>
            </w:r>
          </w:hyperlink>
        </w:p>
        <w:p w14:paraId="5BF68756" w14:textId="4EEB6E3B" w:rsidR="00E122BF" w:rsidRDefault="002E7682">
          <w:pPr>
            <w:pStyle w:val="TOC2"/>
            <w:tabs>
              <w:tab w:val="right" w:leader="dot" w:pos="9350"/>
            </w:tabs>
            <w:rPr>
              <w:rFonts w:asciiTheme="minorHAnsi" w:eastAsiaTheme="minorEastAsia" w:hAnsiTheme="minorHAnsi"/>
              <w:noProof/>
              <w:sz w:val="22"/>
            </w:rPr>
          </w:pPr>
          <w:hyperlink w:anchor="_Toc487802609" w:history="1">
            <w:r w:rsidR="00E122BF" w:rsidRPr="00DB639F">
              <w:rPr>
                <w:rStyle w:val="Hyperlink"/>
                <w:noProof/>
              </w:rPr>
              <w:t>1.2 Challenges of Cloud Computing</w:t>
            </w:r>
            <w:r w:rsidR="00E122BF">
              <w:rPr>
                <w:noProof/>
                <w:webHidden/>
              </w:rPr>
              <w:tab/>
            </w:r>
            <w:r w:rsidR="00E122BF">
              <w:rPr>
                <w:noProof/>
                <w:webHidden/>
              </w:rPr>
              <w:fldChar w:fldCharType="begin"/>
            </w:r>
            <w:r w:rsidR="00E122BF">
              <w:rPr>
                <w:noProof/>
                <w:webHidden/>
              </w:rPr>
              <w:instrText xml:space="preserve"> PAGEREF _Toc487802609 \h </w:instrText>
            </w:r>
            <w:r w:rsidR="00E122BF">
              <w:rPr>
                <w:noProof/>
                <w:webHidden/>
              </w:rPr>
            </w:r>
            <w:r w:rsidR="00E122BF">
              <w:rPr>
                <w:noProof/>
                <w:webHidden/>
              </w:rPr>
              <w:fldChar w:fldCharType="separate"/>
            </w:r>
            <w:r w:rsidR="00E122BF">
              <w:rPr>
                <w:noProof/>
                <w:webHidden/>
              </w:rPr>
              <w:t>3</w:t>
            </w:r>
            <w:r w:rsidR="00E122BF">
              <w:rPr>
                <w:noProof/>
                <w:webHidden/>
              </w:rPr>
              <w:fldChar w:fldCharType="end"/>
            </w:r>
          </w:hyperlink>
        </w:p>
        <w:p w14:paraId="1BB2CBAE" w14:textId="700454AA" w:rsidR="00E122BF" w:rsidRDefault="002E7682">
          <w:pPr>
            <w:pStyle w:val="TOC1"/>
            <w:tabs>
              <w:tab w:val="right" w:leader="dot" w:pos="9350"/>
            </w:tabs>
            <w:rPr>
              <w:rFonts w:asciiTheme="minorHAnsi" w:eastAsiaTheme="minorEastAsia" w:hAnsiTheme="minorHAnsi"/>
              <w:noProof/>
              <w:sz w:val="22"/>
            </w:rPr>
          </w:pPr>
          <w:hyperlink w:anchor="_Toc487802610" w:history="1">
            <w:r w:rsidR="00E122BF" w:rsidRPr="00DB639F">
              <w:rPr>
                <w:rStyle w:val="Hyperlink"/>
                <w:noProof/>
              </w:rPr>
              <w:t>2. Core Cloud Guide</w:t>
            </w:r>
            <w:r w:rsidR="00E122BF">
              <w:rPr>
                <w:noProof/>
                <w:webHidden/>
              </w:rPr>
              <w:tab/>
            </w:r>
            <w:r w:rsidR="00E122BF">
              <w:rPr>
                <w:noProof/>
                <w:webHidden/>
              </w:rPr>
              <w:fldChar w:fldCharType="begin"/>
            </w:r>
            <w:r w:rsidR="00E122BF">
              <w:rPr>
                <w:noProof/>
                <w:webHidden/>
              </w:rPr>
              <w:instrText xml:space="preserve"> PAGEREF _Toc487802610 \h </w:instrText>
            </w:r>
            <w:r w:rsidR="00E122BF">
              <w:rPr>
                <w:noProof/>
                <w:webHidden/>
              </w:rPr>
            </w:r>
            <w:r w:rsidR="00E122BF">
              <w:rPr>
                <w:noProof/>
                <w:webHidden/>
              </w:rPr>
              <w:fldChar w:fldCharType="separate"/>
            </w:r>
            <w:r w:rsidR="00E122BF">
              <w:rPr>
                <w:noProof/>
                <w:webHidden/>
              </w:rPr>
              <w:t>4</w:t>
            </w:r>
            <w:r w:rsidR="00E122BF">
              <w:rPr>
                <w:noProof/>
                <w:webHidden/>
              </w:rPr>
              <w:fldChar w:fldCharType="end"/>
            </w:r>
          </w:hyperlink>
        </w:p>
        <w:p w14:paraId="353C9918" w14:textId="058A38D2" w:rsidR="00E122BF" w:rsidRDefault="002E7682">
          <w:pPr>
            <w:pStyle w:val="TOC2"/>
            <w:tabs>
              <w:tab w:val="right" w:leader="dot" w:pos="9350"/>
            </w:tabs>
            <w:rPr>
              <w:rFonts w:asciiTheme="minorHAnsi" w:eastAsiaTheme="minorEastAsia" w:hAnsiTheme="minorHAnsi"/>
              <w:noProof/>
              <w:sz w:val="22"/>
            </w:rPr>
          </w:pPr>
          <w:hyperlink w:anchor="_Toc487802611" w:history="1">
            <w:r w:rsidR="00E122BF" w:rsidRPr="00DB639F">
              <w:rPr>
                <w:rStyle w:val="Hyperlink"/>
                <w:noProof/>
              </w:rPr>
              <w:t>2.1 Visual Scenario Reference</w:t>
            </w:r>
            <w:r w:rsidR="00E122BF">
              <w:rPr>
                <w:noProof/>
                <w:webHidden/>
              </w:rPr>
              <w:tab/>
            </w:r>
            <w:r w:rsidR="00E122BF">
              <w:rPr>
                <w:noProof/>
                <w:webHidden/>
              </w:rPr>
              <w:fldChar w:fldCharType="begin"/>
            </w:r>
            <w:r w:rsidR="00E122BF">
              <w:rPr>
                <w:noProof/>
                <w:webHidden/>
              </w:rPr>
              <w:instrText xml:space="preserve"> PAGEREF _Toc487802611 \h </w:instrText>
            </w:r>
            <w:r w:rsidR="00E122BF">
              <w:rPr>
                <w:noProof/>
                <w:webHidden/>
              </w:rPr>
            </w:r>
            <w:r w:rsidR="00E122BF">
              <w:rPr>
                <w:noProof/>
                <w:webHidden/>
              </w:rPr>
              <w:fldChar w:fldCharType="separate"/>
            </w:r>
            <w:r w:rsidR="00E122BF">
              <w:rPr>
                <w:noProof/>
                <w:webHidden/>
              </w:rPr>
              <w:t>4</w:t>
            </w:r>
            <w:r w:rsidR="00E122BF">
              <w:rPr>
                <w:noProof/>
                <w:webHidden/>
              </w:rPr>
              <w:fldChar w:fldCharType="end"/>
            </w:r>
          </w:hyperlink>
        </w:p>
        <w:p w14:paraId="70CA011C" w14:textId="370D4438" w:rsidR="00E122BF" w:rsidRDefault="002E7682">
          <w:pPr>
            <w:pStyle w:val="TOC2"/>
            <w:tabs>
              <w:tab w:val="right" w:leader="dot" w:pos="9350"/>
            </w:tabs>
            <w:rPr>
              <w:rFonts w:asciiTheme="minorHAnsi" w:eastAsiaTheme="minorEastAsia" w:hAnsiTheme="minorHAnsi"/>
              <w:noProof/>
              <w:sz w:val="22"/>
            </w:rPr>
          </w:pPr>
          <w:hyperlink w:anchor="_Toc487802612" w:history="1">
            <w:r w:rsidR="00E122BF" w:rsidRPr="00DB639F">
              <w:rPr>
                <w:rStyle w:val="Hyperlink"/>
                <w:noProof/>
              </w:rPr>
              <w:t>2.2 Scenario Structure</w:t>
            </w:r>
            <w:r w:rsidR="00E122BF">
              <w:rPr>
                <w:noProof/>
                <w:webHidden/>
              </w:rPr>
              <w:tab/>
            </w:r>
            <w:r w:rsidR="00E122BF">
              <w:rPr>
                <w:noProof/>
                <w:webHidden/>
              </w:rPr>
              <w:fldChar w:fldCharType="begin"/>
            </w:r>
            <w:r w:rsidR="00E122BF">
              <w:rPr>
                <w:noProof/>
                <w:webHidden/>
              </w:rPr>
              <w:instrText xml:space="preserve"> PAGEREF _Toc487802612 \h </w:instrText>
            </w:r>
            <w:r w:rsidR="00E122BF">
              <w:rPr>
                <w:noProof/>
                <w:webHidden/>
              </w:rPr>
            </w:r>
            <w:r w:rsidR="00E122BF">
              <w:rPr>
                <w:noProof/>
                <w:webHidden/>
              </w:rPr>
              <w:fldChar w:fldCharType="separate"/>
            </w:r>
            <w:r w:rsidR="00E122BF">
              <w:rPr>
                <w:noProof/>
                <w:webHidden/>
              </w:rPr>
              <w:t>5</w:t>
            </w:r>
            <w:r w:rsidR="00E122BF">
              <w:rPr>
                <w:noProof/>
                <w:webHidden/>
              </w:rPr>
              <w:fldChar w:fldCharType="end"/>
            </w:r>
          </w:hyperlink>
        </w:p>
        <w:p w14:paraId="109995BF" w14:textId="0D6848A6" w:rsidR="00E122BF" w:rsidRDefault="002E7682">
          <w:pPr>
            <w:pStyle w:val="TOC2"/>
            <w:tabs>
              <w:tab w:val="right" w:leader="dot" w:pos="9350"/>
            </w:tabs>
            <w:rPr>
              <w:rFonts w:asciiTheme="minorHAnsi" w:eastAsiaTheme="minorEastAsia" w:hAnsiTheme="minorHAnsi"/>
              <w:noProof/>
              <w:sz w:val="22"/>
            </w:rPr>
          </w:pPr>
          <w:hyperlink w:anchor="_Toc487802613" w:history="1">
            <w:r w:rsidR="00E122BF" w:rsidRPr="00DB639F">
              <w:rPr>
                <w:rStyle w:val="Hyperlink"/>
                <w:noProof/>
              </w:rPr>
              <w:t>2.3 Scenario</w:t>
            </w:r>
            <w:r w:rsidR="00E122BF">
              <w:rPr>
                <w:noProof/>
                <w:webHidden/>
              </w:rPr>
              <w:tab/>
            </w:r>
            <w:r w:rsidR="00E122BF">
              <w:rPr>
                <w:noProof/>
                <w:webHidden/>
              </w:rPr>
              <w:fldChar w:fldCharType="begin"/>
            </w:r>
            <w:r w:rsidR="00E122BF">
              <w:rPr>
                <w:noProof/>
                <w:webHidden/>
              </w:rPr>
              <w:instrText xml:space="preserve"> PAGEREF _Toc487802613 \h </w:instrText>
            </w:r>
            <w:r w:rsidR="00E122BF">
              <w:rPr>
                <w:noProof/>
                <w:webHidden/>
              </w:rPr>
            </w:r>
            <w:r w:rsidR="00E122BF">
              <w:rPr>
                <w:noProof/>
                <w:webHidden/>
              </w:rPr>
              <w:fldChar w:fldCharType="separate"/>
            </w:r>
            <w:r w:rsidR="00E122BF">
              <w:rPr>
                <w:noProof/>
                <w:webHidden/>
              </w:rPr>
              <w:t>6</w:t>
            </w:r>
            <w:r w:rsidR="00E122BF">
              <w:rPr>
                <w:noProof/>
                <w:webHidden/>
              </w:rPr>
              <w:fldChar w:fldCharType="end"/>
            </w:r>
          </w:hyperlink>
        </w:p>
        <w:p w14:paraId="6F127C8D" w14:textId="79BA418D" w:rsidR="00E122BF" w:rsidRDefault="002E7682">
          <w:pPr>
            <w:pStyle w:val="TOC1"/>
            <w:tabs>
              <w:tab w:val="right" w:leader="dot" w:pos="9350"/>
            </w:tabs>
            <w:rPr>
              <w:rFonts w:asciiTheme="minorHAnsi" w:eastAsiaTheme="minorEastAsia" w:hAnsiTheme="minorHAnsi"/>
              <w:noProof/>
              <w:sz w:val="22"/>
            </w:rPr>
          </w:pPr>
          <w:hyperlink w:anchor="_Toc487802614" w:history="1">
            <w:r w:rsidR="00E122BF" w:rsidRPr="00DB639F">
              <w:rPr>
                <w:rStyle w:val="Hyperlink"/>
                <w:noProof/>
              </w:rPr>
              <w:t>3. Expanded Cloud Topics</w:t>
            </w:r>
            <w:r w:rsidR="00E122BF">
              <w:rPr>
                <w:noProof/>
                <w:webHidden/>
              </w:rPr>
              <w:tab/>
            </w:r>
            <w:r w:rsidR="00E122BF">
              <w:rPr>
                <w:noProof/>
                <w:webHidden/>
              </w:rPr>
              <w:fldChar w:fldCharType="begin"/>
            </w:r>
            <w:r w:rsidR="00E122BF">
              <w:rPr>
                <w:noProof/>
                <w:webHidden/>
              </w:rPr>
              <w:instrText xml:space="preserve"> PAGEREF _Toc487802614 \h </w:instrText>
            </w:r>
            <w:r w:rsidR="00E122BF">
              <w:rPr>
                <w:noProof/>
                <w:webHidden/>
              </w:rPr>
            </w:r>
            <w:r w:rsidR="00E122BF">
              <w:rPr>
                <w:noProof/>
                <w:webHidden/>
              </w:rPr>
              <w:fldChar w:fldCharType="separate"/>
            </w:r>
            <w:r w:rsidR="00E122BF">
              <w:rPr>
                <w:noProof/>
                <w:webHidden/>
              </w:rPr>
              <w:t>24</w:t>
            </w:r>
            <w:r w:rsidR="00E122BF">
              <w:rPr>
                <w:noProof/>
                <w:webHidden/>
              </w:rPr>
              <w:fldChar w:fldCharType="end"/>
            </w:r>
          </w:hyperlink>
        </w:p>
        <w:p w14:paraId="334127F5" w14:textId="6C013456" w:rsidR="00E122BF" w:rsidRDefault="002E7682">
          <w:pPr>
            <w:pStyle w:val="TOC2"/>
            <w:tabs>
              <w:tab w:val="right" w:leader="dot" w:pos="9350"/>
            </w:tabs>
            <w:rPr>
              <w:rFonts w:asciiTheme="minorHAnsi" w:eastAsiaTheme="minorEastAsia" w:hAnsiTheme="minorHAnsi"/>
              <w:noProof/>
              <w:sz w:val="22"/>
            </w:rPr>
          </w:pPr>
          <w:hyperlink w:anchor="_Toc487802615" w:history="1">
            <w:r w:rsidR="00E122BF" w:rsidRPr="00DB639F">
              <w:rPr>
                <w:rStyle w:val="Hyperlink"/>
                <w:noProof/>
              </w:rPr>
              <w:t>3.2 Cloud Services vs. Managed Data Center Services</w:t>
            </w:r>
            <w:r w:rsidR="00E122BF">
              <w:rPr>
                <w:noProof/>
                <w:webHidden/>
              </w:rPr>
              <w:tab/>
            </w:r>
            <w:r w:rsidR="00E122BF">
              <w:rPr>
                <w:noProof/>
                <w:webHidden/>
              </w:rPr>
              <w:fldChar w:fldCharType="begin"/>
            </w:r>
            <w:r w:rsidR="00E122BF">
              <w:rPr>
                <w:noProof/>
                <w:webHidden/>
              </w:rPr>
              <w:instrText xml:space="preserve"> PAGEREF _Toc487802615 \h </w:instrText>
            </w:r>
            <w:r w:rsidR="00E122BF">
              <w:rPr>
                <w:noProof/>
                <w:webHidden/>
              </w:rPr>
            </w:r>
            <w:r w:rsidR="00E122BF">
              <w:rPr>
                <w:noProof/>
                <w:webHidden/>
              </w:rPr>
              <w:fldChar w:fldCharType="separate"/>
            </w:r>
            <w:r w:rsidR="00E122BF">
              <w:rPr>
                <w:noProof/>
                <w:webHidden/>
              </w:rPr>
              <w:t>24</w:t>
            </w:r>
            <w:r w:rsidR="00E122BF">
              <w:rPr>
                <w:noProof/>
                <w:webHidden/>
              </w:rPr>
              <w:fldChar w:fldCharType="end"/>
            </w:r>
          </w:hyperlink>
        </w:p>
        <w:p w14:paraId="65A6A9DC" w14:textId="0DEEC2F6" w:rsidR="00E122BF" w:rsidRDefault="002E7682">
          <w:pPr>
            <w:pStyle w:val="TOC2"/>
            <w:tabs>
              <w:tab w:val="right" w:leader="dot" w:pos="9350"/>
            </w:tabs>
            <w:rPr>
              <w:rFonts w:asciiTheme="minorHAnsi" w:eastAsiaTheme="minorEastAsia" w:hAnsiTheme="minorHAnsi"/>
              <w:noProof/>
              <w:sz w:val="22"/>
            </w:rPr>
          </w:pPr>
          <w:hyperlink w:anchor="_Toc487802616" w:history="1">
            <w:r w:rsidR="00E122BF" w:rsidRPr="00DB639F">
              <w:rPr>
                <w:rStyle w:val="Hyperlink"/>
                <w:noProof/>
              </w:rPr>
              <w:t>3.3 Transition Professional Services</w:t>
            </w:r>
            <w:r w:rsidR="00E122BF">
              <w:rPr>
                <w:noProof/>
                <w:webHidden/>
              </w:rPr>
              <w:tab/>
            </w:r>
            <w:r w:rsidR="00E122BF">
              <w:rPr>
                <w:noProof/>
                <w:webHidden/>
              </w:rPr>
              <w:fldChar w:fldCharType="begin"/>
            </w:r>
            <w:r w:rsidR="00E122BF">
              <w:rPr>
                <w:noProof/>
                <w:webHidden/>
              </w:rPr>
              <w:instrText xml:space="preserve"> PAGEREF _Toc487802616 \h </w:instrText>
            </w:r>
            <w:r w:rsidR="00E122BF">
              <w:rPr>
                <w:noProof/>
                <w:webHidden/>
              </w:rPr>
            </w:r>
            <w:r w:rsidR="00E122BF">
              <w:rPr>
                <w:noProof/>
                <w:webHidden/>
              </w:rPr>
              <w:fldChar w:fldCharType="separate"/>
            </w:r>
            <w:r w:rsidR="00E122BF">
              <w:rPr>
                <w:noProof/>
                <w:webHidden/>
              </w:rPr>
              <w:t>25</w:t>
            </w:r>
            <w:r w:rsidR="00E122BF">
              <w:rPr>
                <w:noProof/>
                <w:webHidden/>
              </w:rPr>
              <w:fldChar w:fldCharType="end"/>
            </w:r>
          </w:hyperlink>
        </w:p>
        <w:p w14:paraId="45CF3E2E" w14:textId="2A067B3A" w:rsidR="00E122BF" w:rsidRDefault="002E7682">
          <w:pPr>
            <w:pStyle w:val="TOC2"/>
            <w:tabs>
              <w:tab w:val="right" w:leader="dot" w:pos="9350"/>
            </w:tabs>
            <w:rPr>
              <w:rFonts w:asciiTheme="minorHAnsi" w:eastAsiaTheme="minorEastAsia" w:hAnsiTheme="minorHAnsi"/>
              <w:noProof/>
              <w:sz w:val="22"/>
            </w:rPr>
          </w:pPr>
          <w:hyperlink w:anchor="_Toc487802617" w:history="1">
            <w:r w:rsidR="00E122BF" w:rsidRPr="00DB639F">
              <w:rPr>
                <w:rStyle w:val="Hyperlink"/>
                <w:noProof/>
              </w:rPr>
              <w:t>3.4 Paying For Cloud</w:t>
            </w:r>
            <w:r w:rsidR="00E122BF">
              <w:rPr>
                <w:noProof/>
                <w:webHidden/>
              </w:rPr>
              <w:tab/>
            </w:r>
            <w:r w:rsidR="00E122BF">
              <w:rPr>
                <w:noProof/>
                <w:webHidden/>
              </w:rPr>
              <w:fldChar w:fldCharType="begin"/>
            </w:r>
            <w:r w:rsidR="00E122BF">
              <w:rPr>
                <w:noProof/>
                <w:webHidden/>
              </w:rPr>
              <w:instrText xml:space="preserve"> PAGEREF _Toc487802617 \h </w:instrText>
            </w:r>
            <w:r w:rsidR="00E122BF">
              <w:rPr>
                <w:noProof/>
                <w:webHidden/>
              </w:rPr>
            </w:r>
            <w:r w:rsidR="00E122BF">
              <w:rPr>
                <w:noProof/>
                <w:webHidden/>
              </w:rPr>
              <w:fldChar w:fldCharType="separate"/>
            </w:r>
            <w:r w:rsidR="00E122BF">
              <w:rPr>
                <w:noProof/>
                <w:webHidden/>
              </w:rPr>
              <w:t>25</w:t>
            </w:r>
            <w:r w:rsidR="00E122BF">
              <w:rPr>
                <w:noProof/>
                <w:webHidden/>
              </w:rPr>
              <w:fldChar w:fldCharType="end"/>
            </w:r>
          </w:hyperlink>
        </w:p>
        <w:p w14:paraId="3A913BB6" w14:textId="6C7280DF" w:rsidR="00E122BF" w:rsidRDefault="002E7682">
          <w:pPr>
            <w:pStyle w:val="TOC2"/>
            <w:tabs>
              <w:tab w:val="right" w:leader="dot" w:pos="9350"/>
            </w:tabs>
            <w:rPr>
              <w:rFonts w:asciiTheme="minorHAnsi" w:eastAsiaTheme="minorEastAsia" w:hAnsiTheme="minorHAnsi"/>
              <w:noProof/>
              <w:sz w:val="22"/>
            </w:rPr>
          </w:pPr>
          <w:hyperlink w:anchor="_Toc487802618" w:history="1">
            <w:r w:rsidR="00E122BF" w:rsidRPr="00DB639F">
              <w:rPr>
                <w:rStyle w:val="Hyperlink"/>
                <w:noProof/>
              </w:rPr>
              <w:t>3.5 Cloud Security Considerations</w:t>
            </w:r>
            <w:r w:rsidR="00E122BF">
              <w:rPr>
                <w:noProof/>
                <w:webHidden/>
              </w:rPr>
              <w:tab/>
            </w:r>
            <w:r w:rsidR="00E122BF">
              <w:rPr>
                <w:noProof/>
                <w:webHidden/>
              </w:rPr>
              <w:fldChar w:fldCharType="begin"/>
            </w:r>
            <w:r w:rsidR="00E122BF">
              <w:rPr>
                <w:noProof/>
                <w:webHidden/>
              </w:rPr>
              <w:instrText xml:space="preserve"> PAGEREF _Toc487802618 \h </w:instrText>
            </w:r>
            <w:r w:rsidR="00E122BF">
              <w:rPr>
                <w:noProof/>
                <w:webHidden/>
              </w:rPr>
            </w:r>
            <w:r w:rsidR="00E122BF">
              <w:rPr>
                <w:noProof/>
                <w:webHidden/>
              </w:rPr>
              <w:fldChar w:fldCharType="separate"/>
            </w:r>
            <w:r w:rsidR="00E122BF">
              <w:rPr>
                <w:noProof/>
                <w:webHidden/>
              </w:rPr>
              <w:t>28</w:t>
            </w:r>
            <w:r w:rsidR="00E122BF">
              <w:rPr>
                <w:noProof/>
                <w:webHidden/>
              </w:rPr>
              <w:fldChar w:fldCharType="end"/>
            </w:r>
          </w:hyperlink>
        </w:p>
        <w:p w14:paraId="70AC7627" w14:textId="1C1D514A" w:rsidR="00E122BF" w:rsidRDefault="002E7682">
          <w:pPr>
            <w:pStyle w:val="TOC2"/>
            <w:tabs>
              <w:tab w:val="right" w:leader="dot" w:pos="9350"/>
            </w:tabs>
            <w:rPr>
              <w:rFonts w:asciiTheme="minorHAnsi" w:eastAsiaTheme="minorEastAsia" w:hAnsiTheme="minorHAnsi"/>
              <w:noProof/>
              <w:sz w:val="22"/>
            </w:rPr>
          </w:pPr>
          <w:hyperlink w:anchor="_Toc487802619" w:history="1">
            <w:r w:rsidR="00E122BF" w:rsidRPr="00DB639F">
              <w:rPr>
                <w:rStyle w:val="Hyperlink"/>
                <w:noProof/>
              </w:rPr>
              <w:t>3.6 Legal and Contractual Concerns</w:t>
            </w:r>
            <w:r w:rsidR="00E122BF">
              <w:rPr>
                <w:noProof/>
                <w:webHidden/>
              </w:rPr>
              <w:tab/>
            </w:r>
            <w:r w:rsidR="00E122BF">
              <w:rPr>
                <w:noProof/>
                <w:webHidden/>
              </w:rPr>
              <w:fldChar w:fldCharType="begin"/>
            </w:r>
            <w:r w:rsidR="00E122BF">
              <w:rPr>
                <w:noProof/>
                <w:webHidden/>
              </w:rPr>
              <w:instrText xml:space="preserve"> PAGEREF _Toc487802619 \h </w:instrText>
            </w:r>
            <w:r w:rsidR="00E122BF">
              <w:rPr>
                <w:noProof/>
                <w:webHidden/>
              </w:rPr>
            </w:r>
            <w:r w:rsidR="00E122BF">
              <w:rPr>
                <w:noProof/>
                <w:webHidden/>
              </w:rPr>
              <w:fldChar w:fldCharType="separate"/>
            </w:r>
            <w:r w:rsidR="00E122BF">
              <w:rPr>
                <w:noProof/>
                <w:webHidden/>
              </w:rPr>
              <w:t>31</w:t>
            </w:r>
            <w:r w:rsidR="00E122BF">
              <w:rPr>
                <w:noProof/>
                <w:webHidden/>
              </w:rPr>
              <w:fldChar w:fldCharType="end"/>
            </w:r>
          </w:hyperlink>
        </w:p>
        <w:p w14:paraId="233DA97C" w14:textId="63CA7597" w:rsidR="00E122BF" w:rsidRDefault="002E7682">
          <w:pPr>
            <w:pStyle w:val="TOC2"/>
            <w:tabs>
              <w:tab w:val="right" w:leader="dot" w:pos="9350"/>
            </w:tabs>
            <w:rPr>
              <w:rFonts w:asciiTheme="minorHAnsi" w:eastAsiaTheme="minorEastAsia" w:hAnsiTheme="minorHAnsi"/>
              <w:noProof/>
              <w:sz w:val="22"/>
            </w:rPr>
          </w:pPr>
          <w:hyperlink w:anchor="_Toc487802620" w:history="1">
            <w:r w:rsidR="00E122BF" w:rsidRPr="00DB639F">
              <w:rPr>
                <w:rStyle w:val="Hyperlink"/>
                <w:noProof/>
              </w:rPr>
              <w:t>3.7 Data in Clouds</w:t>
            </w:r>
            <w:r w:rsidR="00E122BF">
              <w:rPr>
                <w:noProof/>
                <w:webHidden/>
              </w:rPr>
              <w:tab/>
            </w:r>
            <w:r w:rsidR="00E122BF">
              <w:rPr>
                <w:noProof/>
                <w:webHidden/>
              </w:rPr>
              <w:fldChar w:fldCharType="begin"/>
            </w:r>
            <w:r w:rsidR="00E122BF">
              <w:rPr>
                <w:noProof/>
                <w:webHidden/>
              </w:rPr>
              <w:instrText xml:space="preserve"> PAGEREF _Toc487802620 \h </w:instrText>
            </w:r>
            <w:r w:rsidR="00E122BF">
              <w:rPr>
                <w:noProof/>
                <w:webHidden/>
              </w:rPr>
            </w:r>
            <w:r w:rsidR="00E122BF">
              <w:rPr>
                <w:noProof/>
                <w:webHidden/>
              </w:rPr>
              <w:fldChar w:fldCharType="separate"/>
            </w:r>
            <w:r w:rsidR="00E122BF">
              <w:rPr>
                <w:noProof/>
                <w:webHidden/>
              </w:rPr>
              <w:t>31</w:t>
            </w:r>
            <w:r w:rsidR="00E122BF">
              <w:rPr>
                <w:noProof/>
                <w:webHidden/>
              </w:rPr>
              <w:fldChar w:fldCharType="end"/>
            </w:r>
          </w:hyperlink>
        </w:p>
        <w:p w14:paraId="0F9BC281" w14:textId="0E46A696" w:rsidR="00E122BF" w:rsidRDefault="002E7682">
          <w:pPr>
            <w:pStyle w:val="TOC2"/>
            <w:tabs>
              <w:tab w:val="right" w:leader="dot" w:pos="9350"/>
            </w:tabs>
            <w:rPr>
              <w:rFonts w:asciiTheme="minorHAnsi" w:eastAsiaTheme="minorEastAsia" w:hAnsiTheme="minorHAnsi"/>
              <w:noProof/>
              <w:sz w:val="22"/>
            </w:rPr>
          </w:pPr>
          <w:hyperlink w:anchor="_Toc487802621" w:history="1">
            <w:r w:rsidR="00E122BF" w:rsidRPr="00DB639F">
              <w:rPr>
                <w:rStyle w:val="Hyperlink"/>
                <w:noProof/>
              </w:rPr>
              <w:t>3.8 Choosing a Requirements Document Type and Solicitation Type</w:t>
            </w:r>
            <w:r w:rsidR="00E122BF">
              <w:rPr>
                <w:noProof/>
                <w:webHidden/>
              </w:rPr>
              <w:tab/>
            </w:r>
            <w:r w:rsidR="00E122BF">
              <w:rPr>
                <w:noProof/>
                <w:webHidden/>
              </w:rPr>
              <w:fldChar w:fldCharType="begin"/>
            </w:r>
            <w:r w:rsidR="00E122BF">
              <w:rPr>
                <w:noProof/>
                <w:webHidden/>
              </w:rPr>
              <w:instrText xml:space="preserve"> PAGEREF _Toc487802621 \h </w:instrText>
            </w:r>
            <w:r w:rsidR="00E122BF">
              <w:rPr>
                <w:noProof/>
                <w:webHidden/>
              </w:rPr>
            </w:r>
            <w:r w:rsidR="00E122BF">
              <w:rPr>
                <w:noProof/>
                <w:webHidden/>
              </w:rPr>
              <w:fldChar w:fldCharType="separate"/>
            </w:r>
            <w:r w:rsidR="00E122BF">
              <w:rPr>
                <w:noProof/>
                <w:webHidden/>
              </w:rPr>
              <w:t>32</w:t>
            </w:r>
            <w:r w:rsidR="00E122BF">
              <w:rPr>
                <w:noProof/>
                <w:webHidden/>
              </w:rPr>
              <w:fldChar w:fldCharType="end"/>
            </w:r>
          </w:hyperlink>
        </w:p>
        <w:p w14:paraId="65819B23" w14:textId="597A84C1" w:rsidR="00E122BF" w:rsidRDefault="002E7682">
          <w:pPr>
            <w:pStyle w:val="TOC2"/>
            <w:tabs>
              <w:tab w:val="right" w:leader="dot" w:pos="9350"/>
            </w:tabs>
            <w:rPr>
              <w:rFonts w:asciiTheme="minorHAnsi" w:eastAsiaTheme="minorEastAsia" w:hAnsiTheme="minorHAnsi"/>
              <w:noProof/>
              <w:sz w:val="22"/>
            </w:rPr>
          </w:pPr>
          <w:hyperlink w:anchor="_Toc487802622" w:history="1">
            <w:r w:rsidR="00E122BF" w:rsidRPr="00DB639F">
              <w:rPr>
                <w:rStyle w:val="Hyperlink"/>
                <w:noProof/>
              </w:rPr>
              <w:t>3.9 Cloud Service Models and Contract Types</w:t>
            </w:r>
            <w:r w:rsidR="00E122BF">
              <w:rPr>
                <w:noProof/>
                <w:webHidden/>
              </w:rPr>
              <w:tab/>
            </w:r>
            <w:r w:rsidR="00E122BF">
              <w:rPr>
                <w:noProof/>
                <w:webHidden/>
              </w:rPr>
              <w:fldChar w:fldCharType="begin"/>
            </w:r>
            <w:r w:rsidR="00E122BF">
              <w:rPr>
                <w:noProof/>
                <w:webHidden/>
              </w:rPr>
              <w:instrText xml:space="preserve"> PAGEREF _Toc487802622 \h </w:instrText>
            </w:r>
            <w:r w:rsidR="00E122BF">
              <w:rPr>
                <w:noProof/>
                <w:webHidden/>
              </w:rPr>
            </w:r>
            <w:r w:rsidR="00E122BF">
              <w:rPr>
                <w:noProof/>
                <w:webHidden/>
              </w:rPr>
              <w:fldChar w:fldCharType="separate"/>
            </w:r>
            <w:r w:rsidR="00E122BF">
              <w:rPr>
                <w:noProof/>
                <w:webHidden/>
              </w:rPr>
              <w:t>34</w:t>
            </w:r>
            <w:r w:rsidR="00E122BF">
              <w:rPr>
                <w:noProof/>
                <w:webHidden/>
              </w:rPr>
              <w:fldChar w:fldCharType="end"/>
            </w:r>
          </w:hyperlink>
        </w:p>
        <w:p w14:paraId="38298A79" w14:textId="2EAE9C2A" w:rsidR="00E122BF" w:rsidRDefault="002E7682">
          <w:pPr>
            <w:pStyle w:val="TOC2"/>
            <w:tabs>
              <w:tab w:val="right" w:leader="dot" w:pos="9350"/>
            </w:tabs>
            <w:rPr>
              <w:rFonts w:asciiTheme="minorHAnsi" w:eastAsiaTheme="minorEastAsia" w:hAnsiTheme="minorHAnsi"/>
              <w:noProof/>
              <w:sz w:val="22"/>
            </w:rPr>
          </w:pPr>
          <w:hyperlink w:anchor="_Toc487802623" w:history="1">
            <w:r w:rsidR="00E122BF" w:rsidRPr="00DB639F">
              <w:rPr>
                <w:rStyle w:val="Hyperlink"/>
                <w:noProof/>
              </w:rPr>
              <w:t>3.10 Risks of Not Buckling Your Seatbelt</w:t>
            </w:r>
            <w:r w:rsidR="00E122BF">
              <w:rPr>
                <w:noProof/>
                <w:webHidden/>
              </w:rPr>
              <w:tab/>
            </w:r>
            <w:r w:rsidR="00E122BF">
              <w:rPr>
                <w:noProof/>
                <w:webHidden/>
              </w:rPr>
              <w:fldChar w:fldCharType="begin"/>
            </w:r>
            <w:r w:rsidR="00E122BF">
              <w:rPr>
                <w:noProof/>
                <w:webHidden/>
              </w:rPr>
              <w:instrText xml:space="preserve"> PAGEREF _Toc487802623 \h </w:instrText>
            </w:r>
            <w:r w:rsidR="00E122BF">
              <w:rPr>
                <w:noProof/>
                <w:webHidden/>
              </w:rPr>
            </w:r>
            <w:r w:rsidR="00E122BF">
              <w:rPr>
                <w:noProof/>
                <w:webHidden/>
              </w:rPr>
              <w:fldChar w:fldCharType="separate"/>
            </w:r>
            <w:r w:rsidR="00E122BF">
              <w:rPr>
                <w:noProof/>
                <w:webHidden/>
              </w:rPr>
              <w:t>35</w:t>
            </w:r>
            <w:r w:rsidR="00E122BF">
              <w:rPr>
                <w:noProof/>
                <w:webHidden/>
              </w:rPr>
              <w:fldChar w:fldCharType="end"/>
            </w:r>
          </w:hyperlink>
        </w:p>
        <w:p w14:paraId="2CB207FE" w14:textId="10A3D1E9" w:rsidR="00E122BF" w:rsidRDefault="002E7682">
          <w:pPr>
            <w:pStyle w:val="TOC2"/>
            <w:tabs>
              <w:tab w:val="right" w:leader="dot" w:pos="9350"/>
            </w:tabs>
            <w:rPr>
              <w:rFonts w:asciiTheme="minorHAnsi" w:eastAsiaTheme="minorEastAsia" w:hAnsiTheme="minorHAnsi"/>
              <w:noProof/>
              <w:sz w:val="22"/>
            </w:rPr>
          </w:pPr>
          <w:hyperlink w:anchor="_Toc487802624" w:history="1">
            <w:r w:rsidR="00E122BF" w:rsidRPr="00DB639F">
              <w:rPr>
                <w:rStyle w:val="Hyperlink"/>
                <w:noProof/>
              </w:rPr>
              <w:t>3.11 Cloud Responsibilities</w:t>
            </w:r>
            <w:r w:rsidR="00E122BF">
              <w:rPr>
                <w:noProof/>
                <w:webHidden/>
              </w:rPr>
              <w:tab/>
            </w:r>
            <w:r w:rsidR="00E122BF">
              <w:rPr>
                <w:noProof/>
                <w:webHidden/>
              </w:rPr>
              <w:fldChar w:fldCharType="begin"/>
            </w:r>
            <w:r w:rsidR="00E122BF">
              <w:rPr>
                <w:noProof/>
                <w:webHidden/>
              </w:rPr>
              <w:instrText xml:space="preserve"> PAGEREF _Toc487802624 \h </w:instrText>
            </w:r>
            <w:r w:rsidR="00E122BF">
              <w:rPr>
                <w:noProof/>
                <w:webHidden/>
              </w:rPr>
            </w:r>
            <w:r w:rsidR="00E122BF">
              <w:rPr>
                <w:noProof/>
                <w:webHidden/>
              </w:rPr>
              <w:fldChar w:fldCharType="separate"/>
            </w:r>
            <w:r w:rsidR="00E122BF">
              <w:rPr>
                <w:noProof/>
                <w:webHidden/>
              </w:rPr>
              <w:t>36</w:t>
            </w:r>
            <w:r w:rsidR="00E122BF">
              <w:rPr>
                <w:noProof/>
                <w:webHidden/>
              </w:rPr>
              <w:fldChar w:fldCharType="end"/>
            </w:r>
          </w:hyperlink>
        </w:p>
        <w:p w14:paraId="44E9726A" w14:textId="76F2587E" w:rsidR="00E122BF" w:rsidRDefault="002E7682">
          <w:pPr>
            <w:pStyle w:val="TOC1"/>
            <w:tabs>
              <w:tab w:val="right" w:leader="dot" w:pos="9350"/>
            </w:tabs>
            <w:rPr>
              <w:rFonts w:asciiTheme="minorHAnsi" w:eastAsiaTheme="minorEastAsia" w:hAnsiTheme="minorHAnsi"/>
              <w:noProof/>
              <w:sz w:val="22"/>
            </w:rPr>
          </w:pPr>
          <w:hyperlink w:anchor="_Toc487802625" w:history="1">
            <w:r w:rsidR="00E122BF" w:rsidRPr="00DB639F">
              <w:rPr>
                <w:rStyle w:val="Hyperlink"/>
                <w:noProof/>
              </w:rPr>
              <w:t>4. Advanced Cloud Topics</w:t>
            </w:r>
            <w:r w:rsidR="00E122BF">
              <w:rPr>
                <w:noProof/>
                <w:webHidden/>
              </w:rPr>
              <w:tab/>
            </w:r>
            <w:r w:rsidR="00E122BF">
              <w:rPr>
                <w:noProof/>
                <w:webHidden/>
              </w:rPr>
              <w:fldChar w:fldCharType="begin"/>
            </w:r>
            <w:r w:rsidR="00E122BF">
              <w:rPr>
                <w:noProof/>
                <w:webHidden/>
              </w:rPr>
              <w:instrText xml:space="preserve"> PAGEREF _Toc487802625 \h </w:instrText>
            </w:r>
            <w:r w:rsidR="00E122BF">
              <w:rPr>
                <w:noProof/>
                <w:webHidden/>
              </w:rPr>
            </w:r>
            <w:r w:rsidR="00E122BF">
              <w:rPr>
                <w:noProof/>
                <w:webHidden/>
              </w:rPr>
              <w:fldChar w:fldCharType="separate"/>
            </w:r>
            <w:r w:rsidR="00E122BF">
              <w:rPr>
                <w:noProof/>
                <w:webHidden/>
              </w:rPr>
              <w:t>38</w:t>
            </w:r>
            <w:r w:rsidR="00E122BF">
              <w:rPr>
                <w:noProof/>
                <w:webHidden/>
              </w:rPr>
              <w:fldChar w:fldCharType="end"/>
            </w:r>
          </w:hyperlink>
        </w:p>
        <w:p w14:paraId="4AD72FDD" w14:textId="5641D416" w:rsidR="00E122BF" w:rsidRDefault="002E7682">
          <w:pPr>
            <w:pStyle w:val="TOC2"/>
            <w:tabs>
              <w:tab w:val="right" w:leader="dot" w:pos="9350"/>
            </w:tabs>
            <w:rPr>
              <w:rFonts w:asciiTheme="minorHAnsi" w:eastAsiaTheme="minorEastAsia" w:hAnsiTheme="minorHAnsi"/>
              <w:noProof/>
              <w:sz w:val="22"/>
            </w:rPr>
          </w:pPr>
          <w:hyperlink w:anchor="_Toc487802626" w:history="1">
            <w:r w:rsidR="00E122BF" w:rsidRPr="00DB639F">
              <w:rPr>
                <w:rStyle w:val="Hyperlink"/>
                <w:noProof/>
              </w:rPr>
              <w:t>4.2 Strategic Contracting Considerations</w:t>
            </w:r>
            <w:r w:rsidR="00E122BF">
              <w:rPr>
                <w:noProof/>
                <w:webHidden/>
              </w:rPr>
              <w:tab/>
            </w:r>
            <w:r w:rsidR="00E122BF">
              <w:rPr>
                <w:noProof/>
                <w:webHidden/>
              </w:rPr>
              <w:fldChar w:fldCharType="begin"/>
            </w:r>
            <w:r w:rsidR="00E122BF">
              <w:rPr>
                <w:noProof/>
                <w:webHidden/>
              </w:rPr>
              <w:instrText xml:space="preserve"> PAGEREF _Toc487802626 \h </w:instrText>
            </w:r>
            <w:r w:rsidR="00E122BF">
              <w:rPr>
                <w:noProof/>
                <w:webHidden/>
              </w:rPr>
            </w:r>
            <w:r w:rsidR="00E122BF">
              <w:rPr>
                <w:noProof/>
                <w:webHidden/>
              </w:rPr>
              <w:fldChar w:fldCharType="separate"/>
            </w:r>
            <w:r w:rsidR="00E122BF">
              <w:rPr>
                <w:noProof/>
                <w:webHidden/>
              </w:rPr>
              <w:t>38</w:t>
            </w:r>
            <w:r w:rsidR="00E122BF">
              <w:rPr>
                <w:noProof/>
                <w:webHidden/>
              </w:rPr>
              <w:fldChar w:fldCharType="end"/>
            </w:r>
          </w:hyperlink>
        </w:p>
        <w:p w14:paraId="3C540594" w14:textId="218D2C95" w:rsidR="00E122BF" w:rsidRDefault="002E7682">
          <w:pPr>
            <w:pStyle w:val="TOC2"/>
            <w:tabs>
              <w:tab w:val="right" w:leader="dot" w:pos="9350"/>
            </w:tabs>
            <w:rPr>
              <w:rFonts w:asciiTheme="minorHAnsi" w:eastAsiaTheme="minorEastAsia" w:hAnsiTheme="minorHAnsi"/>
              <w:noProof/>
              <w:sz w:val="22"/>
            </w:rPr>
          </w:pPr>
          <w:hyperlink w:anchor="_Toc487802627" w:history="1">
            <w:r w:rsidR="00E122BF" w:rsidRPr="00DB639F">
              <w:rPr>
                <w:rStyle w:val="Hyperlink"/>
                <w:noProof/>
              </w:rPr>
              <w:t>4.3 Blanket Purchase Agreements</w:t>
            </w:r>
            <w:r w:rsidR="00E122BF">
              <w:rPr>
                <w:noProof/>
                <w:webHidden/>
              </w:rPr>
              <w:tab/>
            </w:r>
            <w:r w:rsidR="00E122BF">
              <w:rPr>
                <w:noProof/>
                <w:webHidden/>
              </w:rPr>
              <w:fldChar w:fldCharType="begin"/>
            </w:r>
            <w:r w:rsidR="00E122BF">
              <w:rPr>
                <w:noProof/>
                <w:webHidden/>
              </w:rPr>
              <w:instrText xml:space="preserve"> PAGEREF _Toc487802627 \h </w:instrText>
            </w:r>
            <w:r w:rsidR="00E122BF">
              <w:rPr>
                <w:noProof/>
                <w:webHidden/>
              </w:rPr>
            </w:r>
            <w:r w:rsidR="00E122BF">
              <w:rPr>
                <w:noProof/>
                <w:webHidden/>
              </w:rPr>
              <w:fldChar w:fldCharType="separate"/>
            </w:r>
            <w:r w:rsidR="00E122BF">
              <w:rPr>
                <w:noProof/>
                <w:webHidden/>
              </w:rPr>
              <w:t>40</w:t>
            </w:r>
            <w:r w:rsidR="00E122BF">
              <w:rPr>
                <w:noProof/>
                <w:webHidden/>
              </w:rPr>
              <w:fldChar w:fldCharType="end"/>
            </w:r>
          </w:hyperlink>
        </w:p>
        <w:p w14:paraId="7E66E5DD" w14:textId="7C4A0CA5" w:rsidR="00E122BF" w:rsidRDefault="002E7682">
          <w:pPr>
            <w:pStyle w:val="TOC1"/>
            <w:tabs>
              <w:tab w:val="right" w:leader="dot" w:pos="9350"/>
            </w:tabs>
            <w:rPr>
              <w:rFonts w:asciiTheme="minorHAnsi" w:eastAsiaTheme="minorEastAsia" w:hAnsiTheme="minorHAnsi"/>
              <w:noProof/>
              <w:sz w:val="22"/>
            </w:rPr>
          </w:pPr>
          <w:hyperlink w:anchor="_Toc487802628" w:history="1">
            <w:r w:rsidR="00E122BF" w:rsidRPr="00DB639F">
              <w:rPr>
                <w:rStyle w:val="Hyperlink"/>
                <w:rFonts w:eastAsia="Cambria"/>
                <w:noProof/>
              </w:rPr>
              <w:t>5. Selected References</w:t>
            </w:r>
            <w:r w:rsidR="00E122BF">
              <w:rPr>
                <w:noProof/>
                <w:webHidden/>
              </w:rPr>
              <w:tab/>
            </w:r>
            <w:r w:rsidR="00E122BF">
              <w:rPr>
                <w:noProof/>
                <w:webHidden/>
              </w:rPr>
              <w:fldChar w:fldCharType="begin"/>
            </w:r>
            <w:r w:rsidR="00E122BF">
              <w:rPr>
                <w:noProof/>
                <w:webHidden/>
              </w:rPr>
              <w:instrText xml:space="preserve"> PAGEREF _Toc487802628 \h </w:instrText>
            </w:r>
            <w:r w:rsidR="00E122BF">
              <w:rPr>
                <w:noProof/>
                <w:webHidden/>
              </w:rPr>
            </w:r>
            <w:r w:rsidR="00E122BF">
              <w:rPr>
                <w:noProof/>
                <w:webHidden/>
              </w:rPr>
              <w:fldChar w:fldCharType="separate"/>
            </w:r>
            <w:r w:rsidR="00E122BF">
              <w:rPr>
                <w:noProof/>
                <w:webHidden/>
              </w:rPr>
              <w:t>42</w:t>
            </w:r>
            <w:r w:rsidR="00E122BF">
              <w:rPr>
                <w:noProof/>
                <w:webHidden/>
              </w:rPr>
              <w:fldChar w:fldCharType="end"/>
            </w:r>
          </w:hyperlink>
        </w:p>
        <w:p w14:paraId="4C8D4D17" w14:textId="7E491B7A" w:rsidR="00E122BF" w:rsidRDefault="002E7682">
          <w:pPr>
            <w:pStyle w:val="TOC1"/>
            <w:tabs>
              <w:tab w:val="right" w:leader="dot" w:pos="9350"/>
            </w:tabs>
            <w:rPr>
              <w:rFonts w:asciiTheme="minorHAnsi" w:eastAsiaTheme="minorEastAsia" w:hAnsiTheme="minorHAnsi"/>
              <w:noProof/>
              <w:sz w:val="22"/>
            </w:rPr>
          </w:pPr>
          <w:hyperlink w:anchor="_Toc487802629" w:history="1">
            <w:r w:rsidR="00E122BF" w:rsidRPr="00DB639F">
              <w:rPr>
                <w:rStyle w:val="Hyperlink"/>
                <w:rFonts w:eastAsia="Cambria"/>
                <w:noProof/>
              </w:rPr>
              <w:t>6. Glossary of Terms</w:t>
            </w:r>
            <w:r w:rsidR="00E122BF">
              <w:rPr>
                <w:noProof/>
                <w:webHidden/>
              </w:rPr>
              <w:tab/>
            </w:r>
            <w:r w:rsidR="00E122BF">
              <w:rPr>
                <w:noProof/>
                <w:webHidden/>
              </w:rPr>
              <w:fldChar w:fldCharType="begin"/>
            </w:r>
            <w:r w:rsidR="00E122BF">
              <w:rPr>
                <w:noProof/>
                <w:webHidden/>
              </w:rPr>
              <w:instrText xml:space="preserve"> PAGEREF _Toc487802629 \h </w:instrText>
            </w:r>
            <w:r w:rsidR="00E122BF">
              <w:rPr>
                <w:noProof/>
                <w:webHidden/>
              </w:rPr>
            </w:r>
            <w:r w:rsidR="00E122BF">
              <w:rPr>
                <w:noProof/>
                <w:webHidden/>
              </w:rPr>
              <w:fldChar w:fldCharType="separate"/>
            </w:r>
            <w:r w:rsidR="00E122BF">
              <w:rPr>
                <w:noProof/>
                <w:webHidden/>
              </w:rPr>
              <w:t>44</w:t>
            </w:r>
            <w:r w:rsidR="00E122BF">
              <w:rPr>
                <w:noProof/>
                <w:webHidden/>
              </w:rPr>
              <w:fldChar w:fldCharType="end"/>
            </w:r>
          </w:hyperlink>
        </w:p>
        <w:p w14:paraId="63D3444B" w14:textId="4B8D4765" w:rsidR="00E122BF" w:rsidRDefault="002E7682">
          <w:pPr>
            <w:pStyle w:val="TOC1"/>
            <w:tabs>
              <w:tab w:val="right" w:leader="dot" w:pos="9350"/>
            </w:tabs>
            <w:rPr>
              <w:rFonts w:asciiTheme="minorHAnsi" w:eastAsiaTheme="minorEastAsia" w:hAnsiTheme="minorHAnsi"/>
              <w:noProof/>
              <w:sz w:val="22"/>
            </w:rPr>
          </w:pPr>
          <w:hyperlink w:anchor="_Toc487802630" w:history="1">
            <w:r w:rsidR="00E122BF" w:rsidRPr="00DB639F">
              <w:rPr>
                <w:rStyle w:val="Hyperlink"/>
                <w:noProof/>
              </w:rPr>
              <w:t>7. Appendix: Representative Example Contract Clauses</w:t>
            </w:r>
            <w:r w:rsidR="00E122BF">
              <w:rPr>
                <w:noProof/>
                <w:webHidden/>
              </w:rPr>
              <w:tab/>
            </w:r>
            <w:r w:rsidR="00E122BF">
              <w:rPr>
                <w:noProof/>
                <w:webHidden/>
              </w:rPr>
              <w:fldChar w:fldCharType="begin"/>
            </w:r>
            <w:r w:rsidR="00E122BF">
              <w:rPr>
                <w:noProof/>
                <w:webHidden/>
              </w:rPr>
              <w:instrText xml:space="preserve"> PAGEREF _Toc487802630 \h </w:instrText>
            </w:r>
            <w:r w:rsidR="00E122BF">
              <w:rPr>
                <w:noProof/>
                <w:webHidden/>
              </w:rPr>
            </w:r>
            <w:r w:rsidR="00E122BF">
              <w:rPr>
                <w:noProof/>
                <w:webHidden/>
              </w:rPr>
              <w:fldChar w:fldCharType="separate"/>
            </w:r>
            <w:r w:rsidR="00E122BF">
              <w:rPr>
                <w:noProof/>
                <w:webHidden/>
              </w:rPr>
              <w:t>46</w:t>
            </w:r>
            <w:r w:rsidR="00E122BF">
              <w:rPr>
                <w:noProof/>
                <w:webHidden/>
              </w:rPr>
              <w:fldChar w:fldCharType="end"/>
            </w:r>
          </w:hyperlink>
        </w:p>
        <w:p w14:paraId="05F26895" w14:textId="333E1BF6" w:rsidR="00FF62A8" w:rsidRDefault="00D15EB6" w:rsidP="00FF62A8">
          <w:pPr>
            <w:rPr>
              <w:b/>
              <w:bCs/>
              <w:noProof/>
            </w:rPr>
          </w:pPr>
          <w:r>
            <w:rPr>
              <w:rFonts w:ascii="Garamond" w:hAnsi="Garamond"/>
            </w:rPr>
            <w:fldChar w:fldCharType="end"/>
          </w:r>
        </w:p>
      </w:sdtContent>
    </w:sdt>
    <w:p w14:paraId="7A59EA51" w14:textId="77777777" w:rsidR="00D15EB6" w:rsidRDefault="00D15EB6">
      <w:pPr>
        <w:spacing w:after="120" w:line="360" w:lineRule="auto"/>
        <w:sectPr w:rsidR="00D15EB6" w:rsidSect="0084323F">
          <w:footerReference w:type="default" r:id="rId22"/>
          <w:pgSz w:w="12240" w:h="15840"/>
          <w:pgMar w:top="1440" w:right="1440" w:bottom="1440" w:left="1440" w:header="0" w:footer="288" w:gutter="0"/>
          <w:pgNumType w:fmt="lowerRoman" w:start="1"/>
          <w:cols w:space="720"/>
          <w:docGrid w:linePitch="326"/>
        </w:sectPr>
      </w:pPr>
    </w:p>
    <w:p w14:paraId="148EFD73" w14:textId="7B9127AC" w:rsidR="00D15EB6" w:rsidRPr="00A76CF5" w:rsidRDefault="00D15EB6" w:rsidP="00A76CF5">
      <w:pPr>
        <w:pStyle w:val="TOCHeader1"/>
      </w:pPr>
      <w:bookmarkStart w:id="1" w:name="_Toc487802606"/>
      <w:r w:rsidRPr="00A76CF5">
        <w:t>Table of Exhibits</w:t>
      </w:r>
      <w:bookmarkEnd w:id="1"/>
    </w:p>
    <w:p w14:paraId="056F3B78" w14:textId="6C464BF4" w:rsidR="00E122BF" w:rsidRDefault="00DD5C85">
      <w:pPr>
        <w:pStyle w:val="TableofFigures"/>
        <w:tabs>
          <w:tab w:val="right" w:leader="dot" w:pos="9350"/>
        </w:tabs>
        <w:rPr>
          <w:rFonts w:asciiTheme="minorHAnsi" w:eastAsiaTheme="minorEastAsia" w:hAnsiTheme="minorHAnsi"/>
          <w:noProof/>
          <w:sz w:val="22"/>
        </w:rPr>
      </w:pPr>
      <w:r>
        <w:fldChar w:fldCharType="begin"/>
      </w:r>
      <w:r>
        <w:instrText xml:space="preserve"> TOC \h \z \c "Exhibit" </w:instrText>
      </w:r>
      <w:r>
        <w:fldChar w:fldCharType="separate"/>
      </w:r>
      <w:hyperlink r:id="rId23" w:anchor="_Toc487802631" w:history="1">
        <w:r w:rsidR="00E122BF" w:rsidRPr="00BD1279">
          <w:rPr>
            <w:rStyle w:val="Hyperlink"/>
            <w:noProof/>
            <w:lang w:bidi="hi-IN"/>
          </w:rPr>
          <w:t>Exhibit 1 – Advantages of Cloud Computing</w:t>
        </w:r>
        <w:r w:rsidR="00E122BF">
          <w:rPr>
            <w:noProof/>
            <w:webHidden/>
          </w:rPr>
          <w:tab/>
        </w:r>
        <w:r w:rsidR="00E122BF">
          <w:rPr>
            <w:noProof/>
            <w:webHidden/>
          </w:rPr>
          <w:fldChar w:fldCharType="begin"/>
        </w:r>
        <w:r w:rsidR="00E122BF">
          <w:rPr>
            <w:noProof/>
            <w:webHidden/>
          </w:rPr>
          <w:instrText xml:space="preserve"> PAGEREF _Toc487802631 \h </w:instrText>
        </w:r>
        <w:r w:rsidR="00E122BF">
          <w:rPr>
            <w:noProof/>
            <w:webHidden/>
          </w:rPr>
        </w:r>
        <w:r w:rsidR="00E122BF">
          <w:rPr>
            <w:noProof/>
            <w:webHidden/>
          </w:rPr>
          <w:fldChar w:fldCharType="separate"/>
        </w:r>
        <w:r w:rsidR="00E122BF">
          <w:rPr>
            <w:noProof/>
            <w:webHidden/>
          </w:rPr>
          <w:t>1</w:t>
        </w:r>
        <w:r w:rsidR="00E122BF">
          <w:rPr>
            <w:noProof/>
            <w:webHidden/>
          </w:rPr>
          <w:fldChar w:fldCharType="end"/>
        </w:r>
      </w:hyperlink>
    </w:p>
    <w:p w14:paraId="17492CE8" w14:textId="1E96E32F" w:rsidR="00E122BF" w:rsidRDefault="002E7682">
      <w:pPr>
        <w:pStyle w:val="TableofFigures"/>
        <w:tabs>
          <w:tab w:val="right" w:leader="dot" w:pos="9350"/>
        </w:tabs>
        <w:rPr>
          <w:rFonts w:asciiTheme="minorHAnsi" w:eastAsiaTheme="minorEastAsia" w:hAnsiTheme="minorHAnsi"/>
          <w:noProof/>
          <w:sz w:val="22"/>
        </w:rPr>
      </w:pPr>
      <w:hyperlink w:anchor="_Toc487802632" w:history="1">
        <w:r w:rsidR="00E122BF" w:rsidRPr="00BD1279">
          <w:rPr>
            <w:rStyle w:val="Hyperlink"/>
            <w:noProof/>
            <w:lang w:bidi="hi-IN"/>
          </w:rPr>
          <w:t>Exhibit 2 - NIST Definition of Cloud Computing</w:t>
        </w:r>
        <w:r w:rsidR="00E122BF">
          <w:rPr>
            <w:noProof/>
            <w:webHidden/>
          </w:rPr>
          <w:tab/>
        </w:r>
        <w:r w:rsidR="00E122BF">
          <w:rPr>
            <w:noProof/>
            <w:webHidden/>
          </w:rPr>
          <w:fldChar w:fldCharType="begin"/>
        </w:r>
        <w:r w:rsidR="00E122BF">
          <w:rPr>
            <w:noProof/>
            <w:webHidden/>
          </w:rPr>
          <w:instrText xml:space="preserve"> PAGEREF _Toc487802632 \h </w:instrText>
        </w:r>
        <w:r w:rsidR="00E122BF">
          <w:rPr>
            <w:noProof/>
            <w:webHidden/>
          </w:rPr>
        </w:r>
        <w:r w:rsidR="00E122BF">
          <w:rPr>
            <w:noProof/>
            <w:webHidden/>
          </w:rPr>
          <w:fldChar w:fldCharType="separate"/>
        </w:r>
        <w:r w:rsidR="00E122BF">
          <w:rPr>
            <w:noProof/>
            <w:webHidden/>
          </w:rPr>
          <w:t>2</w:t>
        </w:r>
        <w:r w:rsidR="00E122BF">
          <w:rPr>
            <w:noProof/>
            <w:webHidden/>
          </w:rPr>
          <w:fldChar w:fldCharType="end"/>
        </w:r>
      </w:hyperlink>
    </w:p>
    <w:p w14:paraId="6D4C909A" w14:textId="478318CA" w:rsidR="00E122BF" w:rsidRDefault="002E7682">
      <w:pPr>
        <w:pStyle w:val="TableofFigures"/>
        <w:tabs>
          <w:tab w:val="right" w:leader="dot" w:pos="9350"/>
        </w:tabs>
        <w:rPr>
          <w:rFonts w:asciiTheme="minorHAnsi" w:eastAsiaTheme="minorEastAsia" w:hAnsiTheme="minorHAnsi"/>
          <w:noProof/>
          <w:sz w:val="22"/>
        </w:rPr>
      </w:pPr>
      <w:hyperlink w:anchor="_Toc487802633" w:history="1">
        <w:r w:rsidR="00E122BF" w:rsidRPr="00BD1279">
          <w:rPr>
            <w:rStyle w:val="Hyperlink"/>
            <w:noProof/>
            <w:lang w:bidi="hi-IN"/>
          </w:rPr>
          <w:t>Exhibit 3 - Comparison of Funding Models</w:t>
        </w:r>
        <w:r w:rsidR="00E122BF">
          <w:rPr>
            <w:noProof/>
            <w:webHidden/>
          </w:rPr>
          <w:tab/>
        </w:r>
        <w:r w:rsidR="00E122BF">
          <w:rPr>
            <w:noProof/>
            <w:webHidden/>
          </w:rPr>
          <w:fldChar w:fldCharType="begin"/>
        </w:r>
        <w:r w:rsidR="00E122BF">
          <w:rPr>
            <w:noProof/>
            <w:webHidden/>
          </w:rPr>
          <w:instrText xml:space="preserve"> PAGEREF _Toc487802633 \h </w:instrText>
        </w:r>
        <w:r w:rsidR="00E122BF">
          <w:rPr>
            <w:noProof/>
            <w:webHidden/>
          </w:rPr>
        </w:r>
        <w:r w:rsidR="00E122BF">
          <w:rPr>
            <w:noProof/>
            <w:webHidden/>
          </w:rPr>
          <w:fldChar w:fldCharType="separate"/>
        </w:r>
        <w:r w:rsidR="00E122BF">
          <w:rPr>
            <w:noProof/>
            <w:webHidden/>
          </w:rPr>
          <w:t>4</w:t>
        </w:r>
        <w:r w:rsidR="00E122BF">
          <w:rPr>
            <w:noProof/>
            <w:webHidden/>
          </w:rPr>
          <w:fldChar w:fldCharType="end"/>
        </w:r>
      </w:hyperlink>
    </w:p>
    <w:p w14:paraId="2D54595C" w14:textId="074D8192" w:rsidR="00E122BF" w:rsidRDefault="002E7682">
      <w:pPr>
        <w:pStyle w:val="TableofFigures"/>
        <w:tabs>
          <w:tab w:val="right" w:leader="dot" w:pos="9350"/>
        </w:tabs>
        <w:rPr>
          <w:rFonts w:asciiTheme="minorHAnsi" w:eastAsiaTheme="minorEastAsia" w:hAnsiTheme="minorHAnsi"/>
          <w:noProof/>
          <w:sz w:val="22"/>
        </w:rPr>
      </w:pPr>
      <w:hyperlink w:anchor="_Toc487802634" w:history="1">
        <w:r w:rsidR="00E122BF" w:rsidRPr="00BD1279">
          <w:rPr>
            <w:rStyle w:val="Hyperlink"/>
            <w:noProof/>
            <w:lang w:bidi="hi-IN"/>
          </w:rPr>
          <w:t>Exhibit 4 - Visual Scenario Reference</w:t>
        </w:r>
        <w:r w:rsidR="00E122BF">
          <w:rPr>
            <w:noProof/>
            <w:webHidden/>
          </w:rPr>
          <w:tab/>
        </w:r>
        <w:r w:rsidR="00E122BF">
          <w:rPr>
            <w:noProof/>
            <w:webHidden/>
          </w:rPr>
          <w:fldChar w:fldCharType="begin"/>
        </w:r>
        <w:r w:rsidR="00E122BF">
          <w:rPr>
            <w:noProof/>
            <w:webHidden/>
          </w:rPr>
          <w:instrText xml:space="preserve"> PAGEREF _Toc487802634 \h </w:instrText>
        </w:r>
        <w:r w:rsidR="00E122BF">
          <w:rPr>
            <w:noProof/>
            <w:webHidden/>
          </w:rPr>
        </w:r>
        <w:r w:rsidR="00E122BF">
          <w:rPr>
            <w:noProof/>
            <w:webHidden/>
          </w:rPr>
          <w:fldChar w:fldCharType="separate"/>
        </w:r>
        <w:r w:rsidR="00E122BF">
          <w:rPr>
            <w:noProof/>
            <w:webHidden/>
          </w:rPr>
          <w:t>5</w:t>
        </w:r>
        <w:r w:rsidR="00E122BF">
          <w:rPr>
            <w:noProof/>
            <w:webHidden/>
          </w:rPr>
          <w:fldChar w:fldCharType="end"/>
        </w:r>
      </w:hyperlink>
    </w:p>
    <w:p w14:paraId="17F4EA2D" w14:textId="7721782F" w:rsidR="00E122BF" w:rsidRDefault="002E7682">
      <w:pPr>
        <w:pStyle w:val="TableofFigures"/>
        <w:tabs>
          <w:tab w:val="right" w:leader="dot" w:pos="9350"/>
        </w:tabs>
        <w:rPr>
          <w:rFonts w:asciiTheme="minorHAnsi" w:eastAsiaTheme="minorEastAsia" w:hAnsiTheme="minorHAnsi"/>
          <w:noProof/>
          <w:sz w:val="22"/>
        </w:rPr>
      </w:pPr>
      <w:hyperlink w:anchor="_Toc487802635" w:history="1">
        <w:r w:rsidR="00E122BF" w:rsidRPr="00BD1279">
          <w:rPr>
            <w:rStyle w:val="Hyperlink"/>
            <w:noProof/>
            <w:lang w:bidi="hi-IN"/>
          </w:rPr>
          <w:t>Exhibit 5 - Requirements Document Type Benefits</w:t>
        </w:r>
        <w:r w:rsidR="00E122BF">
          <w:rPr>
            <w:noProof/>
            <w:webHidden/>
          </w:rPr>
          <w:tab/>
        </w:r>
        <w:r w:rsidR="00E122BF">
          <w:rPr>
            <w:noProof/>
            <w:webHidden/>
          </w:rPr>
          <w:fldChar w:fldCharType="begin"/>
        </w:r>
        <w:r w:rsidR="00E122BF">
          <w:rPr>
            <w:noProof/>
            <w:webHidden/>
          </w:rPr>
          <w:instrText xml:space="preserve"> PAGEREF _Toc487802635 \h </w:instrText>
        </w:r>
        <w:r w:rsidR="00E122BF">
          <w:rPr>
            <w:noProof/>
            <w:webHidden/>
          </w:rPr>
        </w:r>
        <w:r w:rsidR="00E122BF">
          <w:rPr>
            <w:noProof/>
            <w:webHidden/>
          </w:rPr>
          <w:fldChar w:fldCharType="separate"/>
        </w:r>
        <w:r w:rsidR="00E122BF">
          <w:rPr>
            <w:noProof/>
            <w:webHidden/>
          </w:rPr>
          <w:t>33</w:t>
        </w:r>
        <w:r w:rsidR="00E122BF">
          <w:rPr>
            <w:noProof/>
            <w:webHidden/>
          </w:rPr>
          <w:fldChar w:fldCharType="end"/>
        </w:r>
      </w:hyperlink>
    </w:p>
    <w:p w14:paraId="29C88C54" w14:textId="3A89D18D" w:rsidR="00E122BF" w:rsidRDefault="002E7682">
      <w:pPr>
        <w:pStyle w:val="TableofFigures"/>
        <w:tabs>
          <w:tab w:val="right" w:leader="dot" w:pos="9350"/>
        </w:tabs>
        <w:rPr>
          <w:rFonts w:asciiTheme="minorHAnsi" w:eastAsiaTheme="minorEastAsia" w:hAnsiTheme="minorHAnsi"/>
          <w:noProof/>
          <w:sz w:val="22"/>
        </w:rPr>
      </w:pPr>
      <w:hyperlink w:anchor="_Toc487802636" w:history="1">
        <w:r w:rsidR="00E122BF" w:rsidRPr="00BD1279">
          <w:rPr>
            <w:rStyle w:val="Hyperlink"/>
            <w:noProof/>
            <w:lang w:bidi="hi-IN"/>
          </w:rPr>
          <w:t>Exhibit 6 - Service Model Contract Type Considerations</w:t>
        </w:r>
        <w:r w:rsidR="00E122BF">
          <w:rPr>
            <w:noProof/>
            <w:webHidden/>
          </w:rPr>
          <w:tab/>
        </w:r>
        <w:r w:rsidR="00E122BF">
          <w:rPr>
            <w:noProof/>
            <w:webHidden/>
          </w:rPr>
          <w:fldChar w:fldCharType="begin"/>
        </w:r>
        <w:r w:rsidR="00E122BF">
          <w:rPr>
            <w:noProof/>
            <w:webHidden/>
          </w:rPr>
          <w:instrText xml:space="preserve"> PAGEREF _Toc487802636 \h </w:instrText>
        </w:r>
        <w:r w:rsidR="00E122BF">
          <w:rPr>
            <w:noProof/>
            <w:webHidden/>
          </w:rPr>
        </w:r>
        <w:r w:rsidR="00E122BF">
          <w:rPr>
            <w:noProof/>
            <w:webHidden/>
          </w:rPr>
          <w:fldChar w:fldCharType="separate"/>
        </w:r>
        <w:r w:rsidR="00E122BF">
          <w:rPr>
            <w:noProof/>
            <w:webHidden/>
          </w:rPr>
          <w:t>35</w:t>
        </w:r>
        <w:r w:rsidR="00E122BF">
          <w:rPr>
            <w:noProof/>
            <w:webHidden/>
          </w:rPr>
          <w:fldChar w:fldCharType="end"/>
        </w:r>
      </w:hyperlink>
    </w:p>
    <w:p w14:paraId="0DBC2D0A" w14:textId="1D2178D0" w:rsidR="00E122BF" w:rsidRDefault="002E7682">
      <w:pPr>
        <w:pStyle w:val="TableofFigures"/>
        <w:tabs>
          <w:tab w:val="right" w:leader="dot" w:pos="9350"/>
        </w:tabs>
        <w:rPr>
          <w:rFonts w:asciiTheme="minorHAnsi" w:eastAsiaTheme="minorEastAsia" w:hAnsiTheme="minorHAnsi"/>
          <w:noProof/>
          <w:sz w:val="22"/>
        </w:rPr>
      </w:pPr>
      <w:hyperlink w:anchor="_Toc487802637" w:history="1">
        <w:r w:rsidR="00E122BF" w:rsidRPr="00BD1279">
          <w:rPr>
            <w:rStyle w:val="Hyperlink"/>
            <w:noProof/>
            <w:lang w:bidi="hi-IN"/>
          </w:rPr>
          <w:t>Exhibit 7 - NIST Cloud Reference Architecture</w:t>
        </w:r>
        <w:r w:rsidR="00E122BF">
          <w:rPr>
            <w:noProof/>
            <w:webHidden/>
          </w:rPr>
          <w:tab/>
        </w:r>
        <w:r w:rsidR="00E122BF">
          <w:rPr>
            <w:noProof/>
            <w:webHidden/>
          </w:rPr>
          <w:fldChar w:fldCharType="begin"/>
        </w:r>
        <w:r w:rsidR="00E122BF">
          <w:rPr>
            <w:noProof/>
            <w:webHidden/>
          </w:rPr>
          <w:instrText xml:space="preserve"> PAGEREF _Toc487802637 \h </w:instrText>
        </w:r>
        <w:r w:rsidR="00E122BF">
          <w:rPr>
            <w:noProof/>
            <w:webHidden/>
          </w:rPr>
        </w:r>
        <w:r w:rsidR="00E122BF">
          <w:rPr>
            <w:noProof/>
            <w:webHidden/>
          </w:rPr>
          <w:fldChar w:fldCharType="separate"/>
        </w:r>
        <w:r w:rsidR="00E122BF">
          <w:rPr>
            <w:noProof/>
            <w:webHidden/>
          </w:rPr>
          <w:t>37</w:t>
        </w:r>
        <w:r w:rsidR="00E122BF">
          <w:rPr>
            <w:noProof/>
            <w:webHidden/>
          </w:rPr>
          <w:fldChar w:fldCharType="end"/>
        </w:r>
      </w:hyperlink>
    </w:p>
    <w:p w14:paraId="071886CB" w14:textId="0D82C0B0" w:rsidR="00E122BF" w:rsidRDefault="002E7682">
      <w:pPr>
        <w:pStyle w:val="TableofFigures"/>
        <w:tabs>
          <w:tab w:val="right" w:leader="dot" w:pos="9350"/>
        </w:tabs>
        <w:rPr>
          <w:rFonts w:asciiTheme="minorHAnsi" w:eastAsiaTheme="minorEastAsia" w:hAnsiTheme="minorHAnsi"/>
          <w:noProof/>
          <w:sz w:val="22"/>
        </w:rPr>
      </w:pPr>
      <w:hyperlink w:anchor="_Toc487802638" w:history="1">
        <w:r w:rsidR="00E122BF" w:rsidRPr="00BD1279">
          <w:rPr>
            <w:rStyle w:val="Hyperlink"/>
            <w:noProof/>
            <w:lang w:bidi="hi-IN"/>
          </w:rPr>
          <w:t>Exhibit 8 - Contract Options Representation</w:t>
        </w:r>
        <w:r w:rsidR="00E122BF">
          <w:rPr>
            <w:noProof/>
            <w:webHidden/>
          </w:rPr>
          <w:tab/>
        </w:r>
        <w:r w:rsidR="00E122BF">
          <w:rPr>
            <w:noProof/>
            <w:webHidden/>
          </w:rPr>
          <w:fldChar w:fldCharType="begin"/>
        </w:r>
        <w:r w:rsidR="00E122BF">
          <w:rPr>
            <w:noProof/>
            <w:webHidden/>
          </w:rPr>
          <w:instrText xml:space="preserve"> PAGEREF _Toc487802638 \h </w:instrText>
        </w:r>
        <w:r w:rsidR="00E122BF">
          <w:rPr>
            <w:noProof/>
            <w:webHidden/>
          </w:rPr>
        </w:r>
        <w:r w:rsidR="00E122BF">
          <w:rPr>
            <w:noProof/>
            <w:webHidden/>
          </w:rPr>
          <w:fldChar w:fldCharType="separate"/>
        </w:r>
        <w:r w:rsidR="00E122BF">
          <w:rPr>
            <w:noProof/>
            <w:webHidden/>
          </w:rPr>
          <w:t>38</w:t>
        </w:r>
        <w:r w:rsidR="00E122BF">
          <w:rPr>
            <w:noProof/>
            <w:webHidden/>
          </w:rPr>
          <w:fldChar w:fldCharType="end"/>
        </w:r>
      </w:hyperlink>
    </w:p>
    <w:p w14:paraId="41AC0C6F" w14:textId="74308BC7" w:rsidR="00D15EB6" w:rsidRDefault="00DD5C85" w:rsidP="00A76CF5">
      <w:r>
        <w:fldChar w:fldCharType="end"/>
      </w:r>
    </w:p>
    <w:p w14:paraId="50233B11" w14:textId="77777777" w:rsidR="00D15EB6" w:rsidRDefault="00D15EB6">
      <w:pPr>
        <w:spacing w:after="120" w:line="360" w:lineRule="auto"/>
        <w:rPr>
          <w:rFonts w:ascii="Baskerville Old Face" w:eastAsiaTheme="majorEastAsia" w:hAnsi="Baskerville Old Face" w:cstheme="majorBidi"/>
          <w:b/>
          <w:bCs/>
          <w:i/>
          <w:color w:val="4F81BD" w:themeColor="accent1"/>
          <w:spacing w:val="20"/>
          <w:sz w:val="32"/>
          <w:szCs w:val="28"/>
          <w:u w:val="single"/>
        </w:rPr>
        <w:sectPr w:rsidR="00D15EB6" w:rsidSect="00D15EB6">
          <w:pgSz w:w="12240" w:h="15840"/>
          <w:pgMar w:top="1440" w:right="1440" w:bottom="1440" w:left="1440" w:header="0" w:footer="288" w:gutter="0"/>
          <w:pgNumType w:fmt="lowerRoman"/>
          <w:cols w:space="720"/>
          <w:docGrid w:linePitch="326"/>
        </w:sectPr>
      </w:pPr>
    </w:p>
    <w:bookmarkStart w:id="2" w:name="_Toc487802607"/>
    <w:p w14:paraId="3FA2DF57" w14:textId="5ED42684" w:rsidR="00500A5D" w:rsidRPr="00E122BF" w:rsidRDefault="00A76CF5" w:rsidP="00E122BF">
      <w:pPr>
        <w:pStyle w:val="Heading1"/>
      </w:pPr>
      <w:r w:rsidRPr="00E122BF">
        <w:rPr>
          <w:noProof/>
        </w:rPr>
        <mc:AlternateContent>
          <mc:Choice Requires="wps">
            <w:drawing>
              <wp:anchor distT="0" distB="0" distL="114300" distR="114300" simplePos="0" relativeHeight="251616256" behindDoc="0" locked="0" layoutInCell="1" allowOverlap="1" wp14:anchorId="5D2121FD" wp14:editId="33BFE310">
                <wp:simplePos x="0" y="0"/>
                <wp:positionH relativeFrom="column">
                  <wp:posOffset>3189605</wp:posOffset>
                </wp:positionH>
                <wp:positionV relativeFrom="page">
                  <wp:posOffset>1264920</wp:posOffset>
                </wp:positionV>
                <wp:extent cx="2725420" cy="1685925"/>
                <wp:effectExtent l="95250" t="57150" r="93980" b="123825"/>
                <wp:wrapSquare wrapText="bothSides"/>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5420" cy="1685925"/>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14:paraId="3B6CE70F" w14:textId="77777777" w:rsidR="00A15EA1" w:rsidRPr="009E2DD3" w:rsidRDefault="00A15EA1" w:rsidP="005832B8">
                            <w:pPr>
                              <w:pStyle w:val="CallOutBoxTitle"/>
                            </w:pPr>
                            <w:r w:rsidRPr="009E2DD3">
                              <w:t>Advantages of Cloud Computing</w:t>
                            </w:r>
                          </w:p>
                          <w:p w14:paraId="5BE90B55" w14:textId="77777777" w:rsidR="00A15EA1" w:rsidRPr="009E2DD3" w:rsidRDefault="00A15EA1" w:rsidP="005832B8">
                            <w:pPr>
                              <w:pStyle w:val="CallOutBoxBullets"/>
                              <w:rPr>
                                <w:b/>
                              </w:rPr>
                            </w:pPr>
                            <w:r w:rsidRPr="009E2DD3">
                              <w:t>Less expensive than maintaining physical infrastructure</w:t>
                            </w:r>
                          </w:p>
                          <w:p w14:paraId="16649067" w14:textId="77777777" w:rsidR="00A15EA1" w:rsidRPr="009E2DD3" w:rsidRDefault="00A15EA1" w:rsidP="005832B8">
                            <w:pPr>
                              <w:pStyle w:val="CallOutBoxBullets"/>
                              <w:rPr>
                                <w:b/>
                              </w:rPr>
                            </w:pPr>
                            <w:r w:rsidRPr="009E2DD3">
                              <w:t>More agile than on-premise systems</w:t>
                            </w:r>
                          </w:p>
                          <w:p w14:paraId="2B046EB3" w14:textId="77777777" w:rsidR="00A15EA1" w:rsidRPr="009E2DD3" w:rsidRDefault="00A15EA1" w:rsidP="005832B8">
                            <w:pPr>
                              <w:pStyle w:val="CallOutBoxBullets"/>
                              <w:rPr>
                                <w:b/>
                              </w:rPr>
                            </w:pPr>
                            <w:r w:rsidRPr="009E2DD3">
                              <w:t>Provides greater scalability for surge and future demands</w:t>
                            </w:r>
                          </w:p>
                          <w:p w14:paraId="6417941B" w14:textId="77777777" w:rsidR="00A15EA1" w:rsidRPr="009E2DD3" w:rsidRDefault="00A15EA1" w:rsidP="005832B8">
                            <w:pPr>
                              <w:pStyle w:val="CallOutBoxBullets"/>
                              <w:rPr>
                                <w:b/>
                              </w:rPr>
                            </w:pPr>
                            <w:r w:rsidRPr="009E2DD3">
                              <w:t>Greater security</w:t>
                            </w:r>
                          </w:p>
                        </w:txbxContent>
                      </wps:txbx>
                      <wps:bodyPr rot="0" vert="horz" wrap="square" lIns="91440" tIns="9144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2121FD" id="_x0000_t202" coordsize="21600,21600" o:spt="202" path="m,l,21600r21600,l21600,xe">
                <v:stroke joinstyle="miter"/>
                <v:path gradientshapeok="t" o:connecttype="rect"/>
              </v:shapetype>
              <v:shape id="Text Box 2" o:spid="_x0000_s1026" type="#_x0000_t202" style="position:absolute;left:0;text-align:left;margin-left:251.15pt;margin-top:99.6pt;width:214.6pt;height:132.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" fillcolor="#254163 [1636]" stroked="f">
                <v:fill color2="#4477b6 [3012]" rotate="t" angle="180" colors="0 #2c5d98;52429f #3c7bc7;1 #3a7ccb" focus="100%" type="gradient">
                  <o:fill v:ext="view" type="gradientUnscaled"/>
                </v:fill>
                <v:shadow on="t" color="black" opacity="22937f" origin=",.5" offset="0,.63889mm"/>
                <v:textbox inset=",7.2pt">
                  <w:txbxContent>
                    <w:p w14:paraId="3B6CE70F" w14:textId="77777777" w:rsidR="00A15EA1" w:rsidRPr="009E2DD3" w:rsidRDefault="00A15EA1" w:rsidP="005832B8">
                      <w:pPr>
                        <w:pStyle w:val="CallOutBoxTitle"/>
                      </w:pPr>
                      <w:r w:rsidRPr="009E2DD3">
                        <w:t>Advantages of Cloud Computing</w:t>
                      </w:r>
                    </w:p>
                    <w:p w14:paraId="5BE90B55" w14:textId="77777777" w:rsidR="00A15EA1" w:rsidRPr="009E2DD3" w:rsidRDefault="00A15EA1" w:rsidP="005832B8">
                      <w:pPr>
                        <w:pStyle w:val="CallOutBoxBullets"/>
                        <w:rPr>
                          <w:b/>
                        </w:rPr>
                      </w:pPr>
                      <w:r w:rsidRPr="009E2DD3">
                        <w:t>Less expensive than maintaining physical infrastructure</w:t>
                      </w:r>
                    </w:p>
                    <w:p w14:paraId="16649067" w14:textId="77777777" w:rsidR="00A15EA1" w:rsidRPr="009E2DD3" w:rsidRDefault="00A15EA1" w:rsidP="005832B8">
                      <w:pPr>
                        <w:pStyle w:val="CallOutBoxBullets"/>
                        <w:rPr>
                          <w:b/>
                        </w:rPr>
                      </w:pPr>
                      <w:r w:rsidRPr="009E2DD3">
                        <w:t>More agile than on-premise systems</w:t>
                      </w:r>
                    </w:p>
                    <w:p w14:paraId="2B046EB3" w14:textId="77777777" w:rsidR="00A15EA1" w:rsidRPr="009E2DD3" w:rsidRDefault="00A15EA1" w:rsidP="005832B8">
                      <w:pPr>
                        <w:pStyle w:val="CallOutBoxBullets"/>
                        <w:rPr>
                          <w:b/>
                        </w:rPr>
                      </w:pPr>
                      <w:r w:rsidRPr="009E2DD3">
                        <w:t>Provides greater scalability for surge and future demands</w:t>
                      </w:r>
                    </w:p>
                    <w:p w14:paraId="6417941B" w14:textId="77777777" w:rsidR="00A15EA1" w:rsidRPr="009E2DD3" w:rsidRDefault="00A15EA1" w:rsidP="005832B8">
                      <w:pPr>
                        <w:pStyle w:val="CallOutBoxBullets"/>
                        <w:rPr>
                          <w:b/>
                        </w:rPr>
                      </w:pPr>
                      <w:r w:rsidRPr="009E2DD3">
                        <w:t>Greater security</w:t>
                      </w:r>
                    </w:p>
                  </w:txbxContent>
                </v:textbox>
                <w10:wrap type="square" anchory="page"/>
              </v:shape>
            </w:pict>
          </mc:Fallback>
        </mc:AlternateContent>
      </w:r>
      <w:r w:rsidR="0037686E" w:rsidRPr="00E122BF">
        <w:rPr>
          <w:noProof/>
        </w:rPr>
        <mc:AlternateContent>
          <mc:Choice Requires="wps">
            <w:drawing>
              <wp:anchor distT="0" distB="0" distL="114300" distR="114300" simplePos="0" relativeHeight="251706368" behindDoc="0" locked="0" layoutInCell="1" allowOverlap="1" wp14:anchorId="52331D19" wp14:editId="4B589CBE">
                <wp:simplePos x="0" y="0"/>
                <wp:positionH relativeFrom="column">
                  <wp:posOffset>3086100</wp:posOffset>
                </wp:positionH>
                <wp:positionV relativeFrom="page">
                  <wp:posOffset>923925</wp:posOffset>
                </wp:positionV>
                <wp:extent cx="2853055" cy="361950"/>
                <wp:effectExtent l="0" t="0" r="4445" b="0"/>
                <wp:wrapSquare wrapText="bothSides"/>
                <wp:docPr id="2" name="Text Box 2"/>
                <wp:cNvGraphicFramePr/>
                <a:graphic xmlns:a="http://schemas.openxmlformats.org/drawingml/2006/main">
                  <a:graphicData uri="http://schemas.microsoft.com/office/word/2010/wordprocessingShape">
                    <wps:wsp>
                      <wps:cNvSpPr txBox="1"/>
                      <wps:spPr>
                        <a:xfrm>
                          <a:off x="0" y="0"/>
                          <a:ext cx="2853055" cy="361950"/>
                        </a:xfrm>
                        <a:prstGeom prst="rect">
                          <a:avLst/>
                        </a:prstGeom>
                        <a:noFill/>
                        <a:ln>
                          <a:noFill/>
                        </a:ln>
                      </wps:spPr>
                      <wps:txbx>
                        <w:txbxContent>
                          <w:p w14:paraId="41120909" w14:textId="51053A90" w:rsidR="00A15EA1" w:rsidRPr="00C86362" w:rsidRDefault="00A15EA1" w:rsidP="00BE384B">
                            <w:pPr>
                              <w:pStyle w:val="Caption"/>
                              <w:rPr>
                                <w:rFonts w:ascii="Garamond" w:hAnsi="Garamond"/>
                                <w:b/>
                                <w:i/>
                                <w:noProof/>
                                <w:color w:val="4F81BD" w:themeColor="accent1"/>
                                <w:spacing w:val="20"/>
                                <w:szCs w:val="28"/>
                                <w:u w:val="single"/>
                              </w:rPr>
                            </w:pPr>
                            <w:bookmarkStart w:id="3" w:name="_Toc487802631"/>
                            <w:r>
                              <w:t xml:space="preserve">Exhibit </w:t>
                            </w:r>
                            <w:fldSimple w:instr=" SEQ Exhibit \* ARABIC ">
                              <w:r>
                                <w:rPr>
                                  <w:noProof/>
                                </w:rPr>
                                <w:t>1</w:t>
                              </w:r>
                            </w:fldSimple>
                            <w:r>
                              <w:t xml:space="preserve"> – Advantages of Cloud Computing</w:t>
                            </w:r>
                            <w:bookmarkEnd w:id="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31D19" id="_x0000_s1027" type="#_x0000_t202" style="position:absolute;left:0;text-align:left;margin-left:243pt;margin-top:72.75pt;width:224.65pt;height:2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" filled="f" stroked="f">
                <v:textbox inset="0,0,0,0">
                  <w:txbxContent>
                    <w:p w14:paraId="41120909" w14:textId="51053A90" w:rsidR="00A15EA1" w:rsidRPr="00C86362" w:rsidRDefault="00A15EA1" w:rsidP="00BE384B">
                      <w:pPr>
                        <w:pStyle w:val="Caption"/>
                        <w:rPr>
                          <w:rFonts w:ascii="Garamond" w:hAnsi="Garamond"/>
                          <w:b/>
                          <w:i/>
                          <w:noProof/>
                          <w:color w:val="4F81BD" w:themeColor="accent1"/>
                          <w:spacing w:val="20"/>
                          <w:szCs w:val="28"/>
                          <w:u w:val="single"/>
                        </w:rPr>
                      </w:pPr>
                      <w:bookmarkStart w:id="5" w:name="_Toc487802631"/>
                      <w:r>
                        <w:t xml:space="preserve">Exhibit </w:t>
                      </w:r>
                      <w:r w:rsidR="00271D9B">
                        <w:fldChar w:fldCharType="begin"/>
                      </w:r>
                      <w:r w:rsidR="00271D9B">
                        <w:instrText xml:space="preserve"> SEQ Exhibit \* ARABIC </w:instrText>
                      </w:r>
                      <w:r w:rsidR="00271D9B">
                        <w:fldChar w:fldCharType="separate"/>
                      </w:r>
                      <w:r>
                        <w:rPr>
                          <w:noProof/>
                        </w:rPr>
                        <w:t>1</w:t>
                      </w:r>
                      <w:r w:rsidR="00271D9B">
                        <w:rPr>
                          <w:noProof/>
                        </w:rPr>
                        <w:fldChar w:fldCharType="end"/>
                      </w:r>
                      <w:r>
                        <w:t xml:space="preserve"> – Advantages of Cloud Computing</w:t>
                      </w:r>
                      <w:bookmarkEnd w:id="5"/>
                    </w:p>
                  </w:txbxContent>
                </v:textbox>
                <w10:wrap type="square" anchory="page"/>
              </v:shape>
            </w:pict>
          </mc:Fallback>
        </mc:AlternateContent>
      </w:r>
      <w:r w:rsidR="00C2302B" w:rsidRPr="00E122BF">
        <w:t>Introduction</w:t>
      </w:r>
      <w:bookmarkEnd w:id="2"/>
    </w:p>
    <w:p w14:paraId="6156D99C" w14:textId="77F9041D" w:rsidR="00742FA8" w:rsidRDefault="005A31BA" w:rsidP="00D62F92">
      <w:r>
        <w:t xml:space="preserve">The Federal Government has developed a number of strategies to increase the security and value of its information technology </w:t>
      </w:r>
      <w:r w:rsidR="00507DBB">
        <w:t>(IT)</w:t>
      </w:r>
      <w:r>
        <w:t xml:space="preserve"> investments. Cloud computing is one of the primary approaches that is cross-cutting and bro</w:t>
      </w:r>
      <w:r w:rsidR="0037686E">
        <w:t xml:space="preserve">adly applicable. The advantages </w:t>
      </w:r>
      <w:r>
        <w:t xml:space="preserve">cloud can deliver to the Federal Government are promising enough that real interest and intent to move onto cloud has developed broadly. Cloud is both a new and a relative term </w:t>
      </w:r>
      <w:r w:rsidR="001226F2">
        <w:t xml:space="preserve">which </w:t>
      </w:r>
      <w:r>
        <w:t>creates uncertainty or confusion</w:t>
      </w:r>
      <w:r w:rsidR="001226F2">
        <w:t>,</w:t>
      </w:r>
      <w:r>
        <w:t xml:space="preserve"> particularly to those lacking significant experience and education in this area. Some areas of uncertainty include how to apply contract types to meet cloud goals, a lack of education about how the market is structured, unfamiliarity with cloud models, and disconnects between cloud requirements and existing agency policies. </w:t>
      </w:r>
      <w:r w:rsidR="001226F2">
        <w:t>These factors have</w:t>
      </w:r>
      <w:r>
        <w:t xml:space="preserve"> created the perception of barriers and slowed the adoption of cloud within the Federal Government more than is desirable or sustainable. </w:t>
      </w:r>
    </w:p>
    <w:p w14:paraId="65ECF7D1" w14:textId="4CDE7FFD" w:rsidR="0084323F" w:rsidRPr="0084323F" w:rsidRDefault="0013730F">
      <w:r w:rsidRPr="0084323F">
        <w:rPr>
          <w:rFonts w:eastAsia="Times New Roman" w:cs="Times New Roman"/>
        </w:rPr>
        <w:t>CCoE r</w:t>
      </w:r>
      <w:r w:rsidR="005A31BA" w:rsidRPr="0084323F">
        <w:rPr>
          <w:rFonts w:eastAsia="Times New Roman" w:cs="Times New Roman"/>
        </w:rPr>
        <w:t>esearch and experience</w:t>
      </w:r>
      <w:r w:rsidRPr="0084323F">
        <w:rPr>
          <w:rFonts w:eastAsia="Times New Roman" w:cs="Times New Roman"/>
        </w:rPr>
        <w:t xml:space="preserve"> indicates</w:t>
      </w:r>
      <w:r w:rsidR="001C2709" w:rsidRPr="0084323F">
        <w:rPr>
          <w:rFonts w:eastAsia="Times New Roman" w:cs="Times New Roman"/>
        </w:rPr>
        <w:t xml:space="preserve"> </w:t>
      </w:r>
      <w:r w:rsidR="005A31BA" w:rsidRPr="0084323F">
        <w:rPr>
          <w:rFonts w:eastAsia="Times New Roman" w:cs="Times New Roman"/>
        </w:rPr>
        <w:t>that most of the inhibitors to federal cloud adoption are not technical in nature</w:t>
      </w:r>
      <w:r w:rsidR="0037686E">
        <w:rPr>
          <w:rFonts w:eastAsia="Times New Roman" w:cs="Times New Roman"/>
        </w:rPr>
        <w:t>,</w:t>
      </w:r>
      <w:r w:rsidR="005A31BA" w:rsidRPr="0084323F">
        <w:rPr>
          <w:rFonts w:eastAsia="Times New Roman" w:cs="Times New Roman"/>
        </w:rPr>
        <w:t xml:space="preserve"> but the result </w:t>
      </w:r>
      <w:r w:rsidR="00947E0F" w:rsidRPr="0084323F">
        <w:rPr>
          <w:rFonts w:eastAsia="Times New Roman" w:cs="Times New Roman"/>
        </w:rPr>
        <w:t xml:space="preserve">of </w:t>
      </w:r>
      <w:r w:rsidR="005A31BA" w:rsidRPr="0084323F">
        <w:rPr>
          <w:rFonts w:eastAsia="Times New Roman" w:cs="Times New Roman"/>
        </w:rPr>
        <w:t>cultural constraints. As a result, the approach to increase the velocity of adoption for cloud computing in the Federal Government will be addressed with highly effective methods to address knowledge, understanding</w:t>
      </w:r>
      <w:r w:rsidR="00507DBB" w:rsidRPr="0084323F">
        <w:rPr>
          <w:rFonts w:eastAsia="Times New Roman" w:cs="Times New Roman"/>
        </w:rPr>
        <w:t>,</w:t>
      </w:r>
      <w:r w:rsidR="005A31BA" w:rsidRPr="0084323F">
        <w:rPr>
          <w:rFonts w:eastAsia="Times New Roman" w:cs="Times New Roman"/>
        </w:rPr>
        <w:t xml:space="preserve"> and application of cloud computing within the Government. A </w:t>
      </w:r>
      <w:r w:rsidR="0037686E">
        <w:rPr>
          <w:rFonts w:eastAsia="Times New Roman" w:cs="Times New Roman"/>
        </w:rPr>
        <w:t>Guide</w:t>
      </w:r>
      <w:r w:rsidR="005A31BA" w:rsidRPr="0084323F">
        <w:rPr>
          <w:rFonts w:eastAsia="Times New Roman" w:cs="Times New Roman"/>
        </w:rPr>
        <w:t xml:space="preserve"> that identifies</w:t>
      </w:r>
      <w:r w:rsidR="00E86253" w:rsidRPr="0084323F">
        <w:rPr>
          <w:rFonts w:eastAsia="Times New Roman" w:cs="Times New Roman"/>
        </w:rPr>
        <w:t>,</w:t>
      </w:r>
      <w:r w:rsidR="005A31BA" w:rsidRPr="0084323F">
        <w:rPr>
          <w:rFonts w:eastAsia="Times New Roman" w:cs="Times New Roman"/>
        </w:rPr>
        <w:t xml:space="preserve"> explains</w:t>
      </w:r>
      <w:r w:rsidR="00507DBB" w:rsidRPr="0084323F">
        <w:rPr>
          <w:rFonts w:eastAsia="Times New Roman" w:cs="Times New Roman"/>
        </w:rPr>
        <w:t>,</w:t>
      </w:r>
      <w:r w:rsidR="005A31BA" w:rsidRPr="0084323F">
        <w:rPr>
          <w:rFonts w:eastAsia="Times New Roman" w:cs="Times New Roman"/>
        </w:rPr>
        <w:t xml:space="preserve"> and offers flexible paths to cloud acquisition and adoption can effectively </w:t>
      </w:r>
      <w:r w:rsidR="0037686E">
        <w:rPr>
          <w:rFonts w:eastAsia="Times New Roman" w:cs="Times New Roman"/>
        </w:rPr>
        <w:t xml:space="preserve">help to </w:t>
      </w:r>
      <w:r w:rsidR="005A31BA" w:rsidRPr="0084323F">
        <w:rPr>
          <w:rFonts w:eastAsia="Times New Roman" w:cs="Times New Roman"/>
        </w:rPr>
        <w:t>re</w:t>
      </w:r>
      <w:r w:rsidR="0037686E">
        <w:rPr>
          <w:rFonts w:eastAsia="Times New Roman" w:cs="Times New Roman"/>
        </w:rPr>
        <w:t>duce or remove these barriers and</w:t>
      </w:r>
      <w:r w:rsidR="005A31BA" w:rsidRPr="0084323F">
        <w:rPr>
          <w:rFonts w:eastAsia="Times New Roman" w:cs="Times New Roman"/>
        </w:rPr>
        <w:t xml:space="preserve"> increase cloud deployment in the Federal Government. The </w:t>
      </w:r>
      <w:r w:rsidR="0037686E">
        <w:rPr>
          <w:rFonts w:eastAsia="Times New Roman" w:cs="Times New Roman"/>
        </w:rPr>
        <w:t>Guide</w:t>
      </w:r>
      <w:r w:rsidR="005A31BA" w:rsidRPr="0084323F">
        <w:rPr>
          <w:rFonts w:eastAsia="Times New Roman" w:cs="Times New Roman"/>
        </w:rPr>
        <w:t xml:space="preserve"> is scenario</w:t>
      </w:r>
      <w:r w:rsidR="00507DBB" w:rsidRPr="0084323F">
        <w:rPr>
          <w:rFonts w:eastAsia="Times New Roman" w:cs="Times New Roman"/>
        </w:rPr>
        <w:t>-</w:t>
      </w:r>
      <w:r w:rsidR="005A31BA" w:rsidRPr="0084323F">
        <w:rPr>
          <w:rFonts w:eastAsia="Times New Roman" w:cs="Times New Roman"/>
        </w:rPr>
        <w:t>based and explains a certain connected set of issues that provide a firm foundation and clear understanding of how to apply cloud technology in the Federal Government</w:t>
      </w:r>
      <w:bookmarkStart w:id="4" w:name="_GoBack"/>
      <w:r w:rsidR="005A31BA" w:rsidRPr="0084323F">
        <w:rPr>
          <w:rFonts w:eastAsia="Times New Roman" w:cs="Times New Roman"/>
        </w:rPr>
        <w:t xml:space="preserve">. Agency stakeholders are able to match key attributes of their </w:t>
      </w:r>
      <w:r w:rsidR="00947E0F" w:rsidRPr="0084323F">
        <w:rPr>
          <w:rFonts w:eastAsia="Times New Roman" w:cs="Times New Roman"/>
        </w:rPr>
        <w:t xml:space="preserve">agency’s </w:t>
      </w:r>
      <w:r w:rsidR="005A31BA" w:rsidRPr="0084323F">
        <w:rPr>
          <w:rFonts w:eastAsia="Times New Roman" w:cs="Times New Roman"/>
        </w:rPr>
        <w:t xml:space="preserve">expected situation to attributes of the provided scenarios that illuminates </w:t>
      </w:r>
      <w:r w:rsidR="0037686E">
        <w:rPr>
          <w:rFonts w:eastAsia="Times New Roman" w:cs="Times New Roman"/>
        </w:rPr>
        <w:t xml:space="preserve">potential </w:t>
      </w:r>
      <w:r w:rsidR="005A31BA" w:rsidRPr="0084323F">
        <w:rPr>
          <w:rFonts w:eastAsia="Times New Roman" w:cs="Times New Roman"/>
        </w:rPr>
        <w:t>guidelines</w:t>
      </w:r>
      <w:r w:rsidR="0037686E">
        <w:rPr>
          <w:rFonts w:eastAsia="Times New Roman" w:cs="Times New Roman"/>
        </w:rPr>
        <w:t>, considerations,</w:t>
      </w:r>
      <w:r w:rsidR="005A31BA" w:rsidRPr="0084323F">
        <w:rPr>
          <w:rFonts w:eastAsia="Times New Roman" w:cs="Times New Roman"/>
        </w:rPr>
        <w:t xml:space="preserve"> and a path forward for their</w:t>
      </w:r>
      <w:r w:rsidR="008E4A84" w:rsidRPr="0084323F">
        <w:rPr>
          <w:rFonts w:eastAsia="Times New Roman" w:cs="Times New Roman"/>
        </w:rPr>
        <w:t xml:space="preserve"> </w:t>
      </w:r>
      <w:r w:rsidR="00CD2730" w:rsidRPr="0084323F">
        <w:rPr>
          <w:rFonts w:eastAsia="Times New Roman" w:cs="Times New Roman"/>
        </w:rPr>
        <w:t>agency</w:t>
      </w:r>
      <w:bookmarkEnd w:id="4"/>
      <w:r w:rsidR="005A31BA" w:rsidRPr="0084323F">
        <w:rPr>
          <w:rFonts w:eastAsia="Times New Roman" w:cs="Times New Roman"/>
        </w:rPr>
        <w:t>. The guidelines</w:t>
      </w:r>
      <w:r w:rsidR="0037686E">
        <w:rPr>
          <w:rFonts w:eastAsia="Times New Roman" w:cs="Times New Roman"/>
        </w:rPr>
        <w:t>, considerations</w:t>
      </w:r>
      <w:r w:rsidR="005A31BA" w:rsidRPr="0084323F">
        <w:rPr>
          <w:rFonts w:eastAsia="Times New Roman" w:cs="Times New Roman"/>
        </w:rPr>
        <w:t xml:space="preserve"> and path-forward information </w:t>
      </w:r>
      <w:r w:rsidR="00847A1F" w:rsidRPr="0084323F">
        <w:rPr>
          <w:rFonts w:eastAsia="Times New Roman" w:cs="Times New Roman"/>
        </w:rPr>
        <w:t xml:space="preserve">are </w:t>
      </w:r>
      <w:r w:rsidR="005A31BA" w:rsidRPr="0084323F">
        <w:rPr>
          <w:rFonts w:eastAsia="Times New Roman" w:cs="Times New Roman"/>
        </w:rPr>
        <w:t xml:space="preserve">compact and succinct to facilitate </w:t>
      </w:r>
      <w:r w:rsidR="00507DBB" w:rsidRPr="0084323F">
        <w:rPr>
          <w:rFonts w:eastAsia="Times New Roman" w:cs="Times New Roman"/>
        </w:rPr>
        <w:t xml:space="preserve">more effective </w:t>
      </w:r>
      <w:r w:rsidR="005A31BA" w:rsidRPr="0084323F">
        <w:rPr>
          <w:rFonts w:eastAsia="Times New Roman" w:cs="Times New Roman"/>
        </w:rPr>
        <w:t>agency action. Should agency stakeholders have less familiarity with cloud and require</w:t>
      </w:r>
      <w:r w:rsidR="0037686E">
        <w:rPr>
          <w:rFonts w:eastAsia="Times New Roman" w:cs="Times New Roman"/>
        </w:rPr>
        <w:t xml:space="preserve"> more detailed information, the Guide</w:t>
      </w:r>
      <w:r w:rsidR="005A31BA" w:rsidRPr="0084323F">
        <w:rPr>
          <w:rFonts w:eastAsia="Times New Roman" w:cs="Times New Roman"/>
        </w:rPr>
        <w:t xml:space="preserve"> provides layered details of information and background in Discussion, Expanded Topics</w:t>
      </w:r>
      <w:r w:rsidR="00507DBB" w:rsidRPr="0084323F">
        <w:rPr>
          <w:rFonts w:eastAsia="Times New Roman" w:cs="Times New Roman"/>
        </w:rPr>
        <w:t>,</w:t>
      </w:r>
      <w:r w:rsidR="005A31BA" w:rsidRPr="0084323F">
        <w:rPr>
          <w:rFonts w:eastAsia="Times New Roman" w:cs="Times New Roman"/>
        </w:rPr>
        <w:t xml:space="preserve"> and Advanced Cloud sections. </w:t>
      </w:r>
      <w:r w:rsidR="00CD2730" w:rsidRPr="0084323F">
        <w:rPr>
          <w:rFonts w:eastAsia="Times New Roman" w:cs="Times New Roman"/>
        </w:rPr>
        <w:t>C</w:t>
      </w:r>
      <w:r w:rsidR="005A31BA" w:rsidRPr="0084323F">
        <w:rPr>
          <w:rFonts w:eastAsia="Times New Roman" w:cs="Times New Roman"/>
        </w:rPr>
        <w:t xml:space="preserve">loud is a contemporary technology that applies </w:t>
      </w:r>
      <w:r w:rsidR="003235F1" w:rsidRPr="0084323F">
        <w:rPr>
          <w:rFonts w:eastAsia="Times New Roman" w:cs="Times New Roman"/>
        </w:rPr>
        <w:t>Information Technology</w:t>
      </w:r>
      <w:r w:rsidR="005A31BA" w:rsidRPr="0084323F">
        <w:rPr>
          <w:rFonts w:eastAsia="Times New Roman" w:cs="Times New Roman"/>
        </w:rPr>
        <w:t xml:space="preserve"> capabilities </w:t>
      </w:r>
      <w:r w:rsidR="00284214" w:rsidRPr="0084323F">
        <w:rPr>
          <w:rFonts w:eastAsia="Times New Roman" w:cs="Times New Roman"/>
        </w:rPr>
        <w:t xml:space="preserve">with highly variable usage </w:t>
      </w:r>
      <w:r w:rsidR="005A31BA" w:rsidRPr="0084323F">
        <w:rPr>
          <w:rFonts w:eastAsia="Times New Roman" w:cs="Times New Roman"/>
        </w:rPr>
        <w:t xml:space="preserve">that stretch perceived regulatory limits in areas like funding or contract types. To this end, the </w:t>
      </w:r>
      <w:r w:rsidR="0037686E">
        <w:rPr>
          <w:rFonts w:eastAsia="Times New Roman" w:cs="Times New Roman"/>
        </w:rPr>
        <w:t>Guide</w:t>
      </w:r>
      <w:r w:rsidR="005A31BA" w:rsidRPr="0084323F">
        <w:rPr>
          <w:rFonts w:eastAsia="Times New Roman" w:cs="Times New Roman"/>
        </w:rPr>
        <w:t xml:space="preserve"> </w:t>
      </w:r>
      <w:r w:rsidR="00751DFE" w:rsidRPr="0084323F">
        <w:rPr>
          <w:rFonts w:eastAsia="Times New Roman" w:cs="Times New Roman"/>
        </w:rPr>
        <w:t xml:space="preserve">provides </w:t>
      </w:r>
      <w:r w:rsidR="005A31BA" w:rsidRPr="0084323F">
        <w:rPr>
          <w:rFonts w:eastAsia="Times New Roman" w:cs="Times New Roman"/>
        </w:rPr>
        <w:t>thoughtful insights about historically differentiated, but appropriate, application of regulations to the cloud environment pertaining mainly to paying for cloud.</w:t>
      </w:r>
      <w:r w:rsidR="0096522A" w:rsidRPr="0084323F">
        <w:rPr>
          <w:rFonts w:eastAsia="Times New Roman" w:cs="Times New Roman"/>
        </w:rPr>
        <w:t xml:space="preserve"> </w:t>
      </w:r>
    </w:p>
    <w:p w14:paraId="4E97D4BB" w14:textId="2047D4DD" w:rsidR="00742FA8" w:rsidRDefault="005A31BA">
      <w:r>
        <w:rPr>
          <w:rFonts w:eastAsia="Times New Roman" w:cs="Times New Roman"/>
        </w:rPr>
        <w:t xml:space="preserve">With the </w:t>
      </w:r>
      <w:r w:rsidR="0037686E">
        <w:rPr>
          <w:rFonts w:eastAsia="Times New Roman" w:cs="Times New Roman"/>
        </w:rPr>
        <w:t>Guide</w:t>
      </w:r>
      <w:r>
        <w:rPr>
          <w:rFonts w:eastAsia="Times New Roman" w:cs="Times New Roman"/>
        </w:rPr>
        <w:t>, executive sponsors, program managers</w:t>
      </w:r>
      <w:r w:rsidR="009F2CBF">
        <w:rPr>
          <w:rFonts w:eastAsia="Times New Roman" w:cs="Times New Roman"/>
        </w:rPr>
        <w:t xml:space="preserve"> (PMs)</w:t>
      </w:r>
      <w:r>
        <w:rPr>
          <w:rFonts w:eastAsia="Times New Roman" w:cs="Times New Roman"/>
        </w:rPr>
        <w:t xml:space="preserve">, contracting officers </w:t>
      </w:r>
      <w:r w:rsidR="009F2CBF">
        <w:rPr>
          <w:rFonts w:eastAsia="Times New Roman" w:cs="Times New Roman"/>
        </w:rPr>
        <w:t>(C</w:t>
      </w:r>
      <w:r w:rsidR="00B0443B">
        <w:rPr>
          <w:rFonts w:eastAsia="Times New Roman" w:cs="Times New Roman"/>
        </w:rPr>
        <w:t>O</w:t>
      </w:r>
      <w:r w:rsidR="009F2CBF">
        <w:rPr>
          <w:rFonts w:eastAsia="Times New Roman" w:cs="Times New Roman"/>
        </w:rPr>
        <w:t>s)</w:t>
      </w:r>
      <w:r>
        <w:rPr>
          <w:rFonts w:eastAsia="Times New Roman" w:cs="Times New Roman"/>
        </w:rPr>
        <w:t xml:space="preserve"> and their staffs should clearly understand and be confident about their cloud deployments. The </w:t>
      </w:r>
      <w:r w:rsidR="005832B8">
        <w:rPr>
          <w:rFonts w:eastAsia="Times New Roman" w:cs="Times New Roman"/>
        </w:rPr>
        <w:t>Guide</w:t>
      </w:r>
      <w:r>
        <w:rPr>
          <w:rFonts w:eastAsia="Times New Roman" w:cs="Times New Roman"/>
        </w:rPr>
        <w:t xml:space="preserve"> purposefully covers a prescribed set of topics that address </w:t>
      </w:r>
      <w:r w:rsidR="005832B8">
        <w:rPr>
          <w:rFonts w:eastAsia="Times New Roman" w:cs="Times New Roman"/>
        </w:rPr>
        <w:t>topics that</w:t>
      </w:r>
      <w:r>
        <w:rPr>
          <w:rFonts w:eastAsia="Times New Roman" w:cs="Times New Roman"/>
        </w:rPr>
        <w:t xml:space="preserve"> key staff in an agency </w:t>
      </w:r>
      <w:r w:rsidR="00507DBB">
        <w:rPr>
          <w:rFonts w:eastAsia="Times New Roman" w:cs="Times New Roman"/>
        </w:rPr>
        <w:t xml:space="preserve">are </w:t>
      </w:r>
      <w:r>
        <w:rPr>
          <w:rFonts w:eastAsia="Times New Roman" w:cs="Times New Roman"/>
        </w:rPr>
        <w:t xml:space="preserve">concerned with </w:t>
      </w:r>
      <w:r w:rsidR="005832B8">
        <w:rPr>
          <w:rFonts w:eastAsia="Times New Roman" w:cs="Times New Roman"/>
        </w:rPr>
        <w:t xml:space="preserve">regarding </w:t>
      </w:r>
      <w:r>
        <w:rPr>
          <w:rFonts w:eastAsia="Times New Roman" w:cs="Times New Roman"/>
        </w:rPr>
        <w:t>cloud deployment including those directly involved in the planning, application</w:t>
      </w:r>
      <w:r w:rsidR="005832B8">
        <w:rPr>
          <w:rFonts w:eastAsia="Times New Roman" w:cs="Times New Roman"/>
        </w:rPr>
        <w:t>,</w:t>
      </w:r>
      <w:r>
        <w:rPr>
          <w:rFonts w:eastAsia="Times New Roman" w:cs="Times New Roman"/>
        </w:rPr>
        <w:t xml:space="preserve"> and procurement of cloud computing services. </w:t>
      </w:r>
    </w:p>
    <w:p w14:paraId="31C8DDDB" w14:textId="77777777" w:rsidR="00742FA8" w:rsidRPr="00E122BF" w:rsidRDefault="005A31BA" w:rsidP="00E122BF">
      <w:pPr>
        <w:pStyle w:val="Heading2"/>
        <w:numPr>
          <w:ilvl w:val="1"/>
          <w:numId w:val="27"/>
        </w:numPr>
      </w:pPr>
      <w:bookmarkStart w:id="5" w:name="_Toc487802608"/>
      <w:r w:rsidRPr="00E122BF">
        <w:t>Cloud Computing Defined</w:t>
      </w:r>
      <w:bookmarkEnd w:id="5"/>
    </w:p>
    <w:p w14:paraId="01F3DED3" w14:textId="616BEE37" w:rsidR="00742FA8" w:rsidRDefault="005A31BA">
      <w:pPr>
        <w:rPr>
          <w:rFonts w:eastAsia="Times New Roman" w:cs="Times New Roman"/>
        </w:rPr>
      </w:pPr>
      <w:r>
        <w:rPr>
          <w:rFonts w:eastAsia="Times New Roman" w:cs="Times New Roman"/>
        </w:rPr>
        <w:t xml:space="preserve">The term cloud has been applied to </w:t>
      </w:r>
      <w:r w:rsidR="00CD2730">
        <w:rPr>
          <w:rFonts w:eastAsia="Times New Roman" w:cs="Times New Roman"/>
        </w:rPr>
        <w:t xml:space="preserve">many </w:t>
      </w:r>
      <w:r>
        <w:rPr>
          <w:rFonts w:eastAsia="Times New Roman" w:cs="Times New Roman"/>
        </w:rPr>
        <w:t>different architecture, services, functions</w:t>
      </w:r>
      <w:r w:rsidR="00507DBB">
        <w:rPr>
          <w:rFonts w:eastAsia="Times New Roman" w:cs="Times New Roman"/>
        </w:rPr>
        <w:t>,</w:t>
      </w:r>
      <w:r>
        <w:rPr>
          <w:rFonts w:eastAsia="Times New Roman" w:cs="Times New Roman"/>
        </w:rPr>
        <w:t xml:space="preserve"> and applications. For the purpose of this discussion, the </w:t>
      </w:r>
      <w:r w:rsidR="005832B8">
        <w:rPr>
          <w:rFonts w:eastAsia="Times New Roman" w:cs="Times New Roman"/>
        </w:rPr>
        <w:t>Guide</w:t>
      </w:r>
      <w:r>
        <w:rPr>
          <w:rFonts w:eastAsia="Times New Roman" w:cs="Times New Roman"/>
        </w:rPr>
        <w:t xml:space="preserve"> defines and uses the term “cloud computing” as defined by </w:t>
      </w:r>
      <w:r w:rsidR="00751DFE">
        <w:rPr>
          <w:rFonts w:eastAsia="Times New Roman" w:cs="Times New Roman"/>
        </w:rPr>
        <w:t>National Institute of Standards and Technology (</w:t>
      </w:r>
      <w:r>
        <w:rPr>
          <w:rFonts w:eastAsia="Times New Roman" w:cs="Times New Roman"/>
          <w:i/>
        </w:rPr>
        <w:t>NIST</w:t>
      </w:r>
      <w:r w:rsidR="00751DFE">
        <w:rPr>
          <w:rFonts w:eastAsia="Times New Roman" w:cs="Times New Roman"/>
          <w:i/>
        </w:rPr>
        <w:t>)</w:t>
      </w:r>
      <w:r>
        <w:rPr>
          <w:rFonts w:eastAsia="Times New Roman" w:cs="Times New Roman"/>
          <w:i/>
        </w:rPr>
        <w:t xml:space="preserve"> SP 800-145, The NIST Definition of Cloud Computing:</w:t>
      </w:r>
      <w:r>
        <w:rPr>
          <w:rFonts w:eastAsia="Times New Roman" w:cs="Times New Roman"/>
          <w:i/>
          <w:vertAlign w:val="superscript"/>
        </w:rPr>
        <w:footnoteReference w:id="2"/>
      </w:r>
      <w:r>
        <w:rPr>
          <w:rFonts w:eastAsia="Times New Roman" w:cs="Times New Roman"/>
        </w:rPr>
        <w:t xml:space="preserve"> </w:t>
      </w:r>
    </w:p>
    <w:p w14:paraId="03B7E3FA" w14:textId="28DF5A15" w:rsidR="00742FA8" w:rsidRDefault="005A31BA" w:rsidP="005832B8">
      <w:pPr>
        <w:pStyle w:val="BodyQuotedText"/>
      </w:pPr>
      <w:r>
        <w:t>Cloud computing is a model for enabling ubiquitous, convenient, on-demand network access to a shared pool of configurable computing resources (e.g., networks, servers, storage, applications, and services) that can be rapidly provisioned and released with minimal management effort or service provider interaction. This cloud model is composed of five essential characteristics and defines three service models and four deploy</w:t>
      </w:r>
      <w:r w:rsidR="00A76CF5">
        <w:t>ment models.</w:t>
      </w:r>
    </w:p>
    <w:p w14:paraId="241EF419" w14:textId="65EA7262" w:rsidR="00235A12" w:rsidRPr="00EF3117" w:rsidRDefault="005832B8" w:rsidP="00BE384B">
      <w:pPr>
        <w:pStyle w:val="Caption"/>
      </w:pPr>
      <w:bookmarkStart w:id="6" w:name="_Toc487802632"/>
      <w:r>
        <w:t xml:space="preserve">Exhibit </w:t>
      </w:r>
      <w:fldSimple w:instr=" SEQ Exhibit \* ARABIC ">
        <w:r w:rsidR="00E122BF">
          <w:rPr>
            <w:noProof/>
          </w:rPr>
          <w:t>2</w:t>
        </w:r>
      </w:fldSimple>
      <w:r w:rsidR="00235A12" w:rsidRPr="00EF3117">
        <w:t xml:space="preserve"> - NIST Definition of Cloud Computing</w:t>
      </w:r>
      <w:bookmarkEnd w:id="6"/>
    </w:p>
    <w:p w14:paraId="545C1DCE" w14:textId="1B32BF38" w:rsidR="00F125FB" w:rsidRDefault="006F369F" w:rsidP="006F369F">
      <w:pPr>
        <w:pStyle w:val="Graphic"/>
      </w:pPr>
      <w:r w:rsidRPr="006F369F">
        <w:drawing>
          <wp:inline distT="0" distB="0" distL="0" distR="0" wp14:anchorId="4CF76348" wp14:editId="3DC890FF">
            <wp:extent cx="5943600" cy="348621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a:extLst>
                        <a:ext uri="{28A0092B-C50C-407E-A947-70E740481C1C}">
                          <a14:useLocalDpi xmlns:a14="http://schemas.microsoft.com/office/drawing/2010/main" val="0"/>
                        </a:ext>
                      </a:extLst>
                    </a:blip>
                    <a:srcRect t="1" b="2069"/>
                    <a:stretch/>
                  </pic:blipFill>
                  <pic:spPr bwMode="auto">
                    <a:xfrm>
                      <a:off x="0" y="0"/>
                      <a:ext cx="5943600" cy="3486214"/>
                    </a:xfrm>
                    <a:prstGeom prst="rect">
                      <a:avLst/>
                    </a:prstGeom>
                    <a:noFill/>
                    <a:ln>
                      <a:noFill/>
                    </a:ln>
                    <a:extLst>
                      <a:ext uri="{53640926-AAD7-44D8-BBD7-CCE9431645EC}">
                        <a14:shadowObscured xmlns:a14="http://schemas.microsoft.com/office/drawing/2010/main"/>
                      </a:ext>
                    </a:extLst>
                  </pic:spPr>
                </pic:pic>
              </a:graphicData>
            </a:graphic>
          </wp:inline>
        </w:drawing>
      </w:r>
    </w:p>
    <w:p w14:paraId="40B19E74" w14:textId="7DC4D99E" w:rsidR="00742FA8" w:rsidRDefault="005A31BA">
      <w:r>
        <w:rPr>
          <w:rFonts w:eastAsia="Times New Roman" w:cs="Times New Roman"/>
        </w:rPr>
        <w:t xml:space="preserve">While this </w:t>
      </w:r>
      <w:r w:rsidR="00F7123D">
        <w:rPr>
          <w:rFonts w:eastAsia="Times New Roman" w:cs="Times New Roman"/>
        </w:rPr>
        <w:t>Guide</w:t>
      </w:r>
      <w:r>
        <w:rPr>
          <w:rFonts w:eastAsia="Times New Roman" w:cs="Times New Roman"/>
        </w:rPr>
        <w:t xml:space="preserve"> endorses the computing services that are fully compliant with the NIST cloud characteristics, the concepts within this </w:t>
      </w:r>
      <w:r w:rsidR="00F7123D">
        <w:rPr>
          <w:rFonts w:eastAsia="Times New Roman" w:cs="Times New Roman"/>
        </w:rPr>
        <w:t>Guide</w:t>
      </w:r>
      <w:r>
        <w:rPr>
          <w:rFonts w:eastAsia="Times New Roman" w:cs="Times New Roman"/>
        </w:rPr>
        <w:t xml:space="preserve"> apply equally well to any IT “as-a-service” </w:t>
      </w:r>
      <w:r w:rsidR="00A659D5">
        <w:rPr>
          <w:rFonts w:eastAsia="Times New Roman" w:cs="Times New Roman"/>
        </w:rPr>
        <w:t>(See G</w:t>
      </w:r>
      <w:r w:rsidR="006B588B">
        <w:rPr>
          <w:rFonts w:eastAsia="Times New Roman" w:cs="Times New Roman"/>
        </w:rPr>
        <w:t xml:space="preserve">lossary) </w:t>
      </w:r>
      <w:r>
        <w:rPr>
          <w:rFonts w:eastAsia="Times New Roman" w:cs="Times New Roman"/>
        </w:rPr>
        <w:t>that have consumption</w:t>
      </w:r>
      <w:r w:rsidR="00EE6A59">
        <w:rPr>
          <w:rFonts w:eastAsia="Times New Roman" w:cs="Times New Roman"/>
        </w:rPr>
        <w:t>-</w:t>
      </w:r>
      <w:r>
        <w:rPr>
          <w:rFonts w:eastAsia="Times New Roman" w:cs="Times New Roman"/>
        </w:rPr>
        <w:t>based pricing, fully eliminate related capital expenditures, and present packaged services consistent with commercial best practices.</w:t>
      </w:r>
    </w:p>
    <w:p w14:paraId="79188E30" w14:textId="4FE6CFEF" w:rsidR="00742FA8" w:rsidRDefault="005A31BA" w:rsidP="00E122BF">
      <w:pPr>
        <w:pStyle w:val="Heading2"/>
      </w:pPr>
      <w:bookmarkStart w:id="7" w:name="_Toc487802609"/>
      <w:r>
        <w:t>Challenges of Cloud Computing</w:t>
      </w:r>
      <w:bookmarkEnd w:id="7"/>
      <w:r>
        <w:t xml:space="preserve"> </w:t>
      </w:r>
    </w:p>
    <w:p w14:paraId="3E13B1FC" w14:textId="4EAC7948" w:rsidR="00742FA8" w:rsidRDefault="005A31BA">
      <w:pPr>
        <w:rPr>
          <w:rFonts w:eastAsia="Times New Roman" w:cs="Times New Roman"/>
        </w:rPr>
      </w:pPr>
      <w:r>
        <w:rPr>
          <w:rFonts w:eastAsia="Times New Roman" w:cs="Times New Roman"/>
        </w:rPr>
        <w:t xml:space="preserve">Commercial-ready cloud services are relatively new to the mass market. For this reason, cloud computing has no </w:t>
      </w:r>
      <w:r w:rsidR="00A659D5">
        <w:rPr>
          <w:rFonts w:eastAsia="Times New Roman" w:cs="Times New Roman"/>
        </w:rPr>
        <w:t xml:space="preserve">dedicated </w:t>
      </w:r>
      <w:r>
        <w:rPr>
          <w:rFonts w:eastAsia="Times New Roman" w:cs="Times New Roman"/>
        </w:rPr>
        <w:t>international standard and few conventional standards across vendors and the industry. Add the loose application of marketing</w:t>
      </w:r>
      <w:r w:rsidR="00DC6AB1">
        <w:rPr>
          <w:rFonts w:eastAsia="Times New Roman" w:cs="Times New Roman"/>
        </w:rPr>
        <w:t>-</w:t>
      </w:r>
      <w:r>
        <w:rPr>
          <w:rFonts w:eastAsia="Times New Roman" w:cs="Times New Roman"/>
        </w:rPr>
        <w:t xml:space="preserve">driven expansions and application of cloud language, and it is easy to understand why cloud confusion abounds. </w:t>
      </w:r>
      <w:r w:rsidR="006B259C">
        <w:rPr>
          <w:rFonts w:eastAsia="Times New Roman" w:cs="Times New Roman"/>
        </w:rPr>
        <w:t>Some of the existing challenges are the differences among cloud models, how the industry is organized, pricing practices, data rights, service definitions</w:t>
      </w:r>
      <w:r w:rsidR="00DC6AB1">
        <w:rPr>
          <w:rFonts w:eastAsia="Times New Roman" w:cs="Times New Roman"/>
        </w:rPr>
        <w:t>,</w:t>
      </w:r>
      <w:r w:rsidR="006B259C">
        <w:rPr>
          <w:rFonts w:eastAsia="Times New Roman" w:cs="Times New Roman"/>
        </w:rPr>
        <w:t xml:space="preserve"> and </w:t>
      </w:r>
      <w:r w:rsidR="009647E3">
        <w:rPr>
          <w:rFonts w:eastAsia="Times New Roman" w:cs="Times New Roman"/>
        </w:rPr>
        <w:t>security</w:t>
      </w:r>
      <w:r w:rsidR="006B259C">
        <w:rPr>
          <w:rFonts w:eastAsia="Times New Roman" w:cs="Times New Roman"/>
        </w:rPr>
        <w:t xml:space="preserve">. </w:t>
      </w:r>
      <w:r>
        <w:rPr>
          <w:rFonts w:eastAsia="Times New Roman" w:cs="Times New Roman"/>
        </w:rPr>
        <w:t xml:space="preserve">Many of these topics are covered in more detail in the Expanded Cloud Topics section of this </w:t>
      </w:r>
      <w:r w:rsidR="006F369F">
        <w:rPr>
          <w:rFonts w:eastAsia="Times New Roman" w:cs="Times New Roman"/>
        </w:rPr>
        <w:t>Guide</w:t>
      </w:r>
      <w:r>
        <w:rPr>
          <w:rFonts w:eastAsia="Times New Roman" w:cs="Times New Roman"/>
        </w:rPr>
        <w:t xml:space="preserve">. However, </w:t>
      </w:r>
      <w:r w:rsidR="00CD2730">
        <w:rPr>
          <w:rFonts w:eastAsia="Times New Roman" w:cs="Times New Roman"/>
        </w:rPr>
        <w:t>consumption</w:t>
      </w:r>
      <w:r w:rsidR="00DC6AB1">
        <w:rPr>
          <w:rFonts w:eastAsia="Times New Roman" w:cs="Times New Roman"/>
        </w:rPr>
        <w:t>-</w:t>
      </w:r>
      <w:r w:rsidR="00CD2730">
        <w:rPr>
          <w:rFonts w:eastAsia="Times New Roman" w:cs="Times New Roman"/>
        </w:rPr>
        <w:t>based payment is one topic best covered early in the discussion.</w:t>
      </w:r>
    </w:p>
    <w:p w14:paraId="149FF5C7" w14:textId="7558BD95" w:rsidR="00742FA8" w:rsidRDefault="00DC6AB1">
      <w:pPr>
        <w:rPr>
          <w:rFonts w:eastAsia="Times New Roman" w:cs="Times New Roman"/>
        </w:rPr>
      </w:pPr>
      <w:r>
        <w:rPr>
          <w:rFonts w:eastAsia="Times New Roman" w:cs="Times New Roman"/>
        </w:rPr>
        <w:t>Consumption-</w:t>
      </w:r>
      <w:r w:rsidR="00CD2730">
        <w:rPr>
          <w:rFonts w:eastAsia="Times New Roman" w:cs="Times New Roman"/>
        </w:rPr>
        <w:t xml:space="preserve">based payment is a </w:t>
      </w:r>
      <w:r w:rsidR="005A31BA">
        <w:rPr>
          <w:rFonts w:eastAsia="Times New Roman" w:cs="Times New Roman"/>
        </w:rPr>
        <w:t>fundamental component of cloud computing</w:t>
      </w:r>
      <w:r w:rsidR="00CD2730">
        <w:rPr>
          <w:rFonts w:eastAsia="Times New Roman" w:cs="Times New Roman"/>
        </w:rPr>
        <w:t>.</w:t>
      </w:r>
      <w:r w:rsidR="005A31BA">
        <w:rPr>
          <w:rFonts w:eastAsia="Times New Roman" w:cs="Times New Roman"/>
        </w:rPr>
        <w:t xml:space="preserve"> Typically, an organization uses the service throughout the month and pays a metered rate directly reflective of what the organization used that month. The overarching objective for the organization is to pay exactly what it owes as a direct function of what it consumed. </w:t>
      </w:r>
    </w:p>
    <w:p w14:paraId="5A22EC39" w14:textId="08631CA7" w:rsidR="00E2312A" w:rsidRDefault="005A31BA">
      <w:pPr>
        <w:rPr>
          <w:rFonts w:eastAsia="Times New Roman" w:cs="Times New Roman"/>
        </w:rPr>
      </w:pPr>
      <w:r>
        <w:rPr>
          <w:rFonts w:eastAsia="Times New Roman" w:cs="Times New Roman"/>
        </w:rPr>
        <w:t xml:space="preserve">The broad deployment of those services within the Federal Government has put pressure on Government systems that were not designed to accommodate the </w:t>
      </w:r>
      <w:r w:rsidR="00F015FA">
        <w:rPr>
          <w:rFonts w:eastAsia="Times New Roman" w:cs="Times New Roman"/>
        </w:rPr>
        <w:t xml:space="preserve">variable </w:t>
      </w:r>
      <w:r>
        <w:rPr>
          <w:rFonts w:eastAsia="Times New Roman" w:cs="Times New Roman"/>
        </w:rPr>
        <w:t>usage and quick-pay cycles that are the hallmark of the cloud computing models</w:t>
      </w:r>
      <w:r w:rsidR="00A85D63">
        <w:rPr>
          <w:rFonts w:eastAsia="Times New Roman" w:cs="Times New Roman"/>
        </w:rPr>
        <w:t>.</w:t>
      </w:r>
      <w:r>
        <w:rPr>
          <w:rFonts w:eastAsia="Times New Roman" w:cs="Times New Roman"/>
        </w:rPr>
        <w:t xml:space="preserve"> Unlike business-to-business contracts, Government contracts are constrained by fiscal laws as well. The Government cannot incur obligations in excess of contract funding, nor can the Government front-load funding for more support and services than are expected. To cope with quick usage to bill cycles, the Federal Government must obligate money commensurate with current federal law which requires agencies to either set aside a large amount of money for corresponding services it may never fully consume or set aside a little money that may not cover its full and actual service consumption. The Federal Government does not currently have</w:t>
      </w:r>
      <w:r w:rsidR="006F369F">
        <w:rPr>
          <w:rFonts w:eastAsia="Times New Roman" w:cs="Times New Roman"/>
        </w:rPr>
        <w:t xml:space="preserve"> access to</w:t>
      </w:r>
      <w:r>
        <w:rPr>
          <w:rFonts w:eastAsia="Times New Roman" w:cs="Times New Roman"/>
        </w:rPr>
        <w:t xml:space="preserve"> these kinds of usage-to-quick-payment capabilities in its </w:t>
      </w:r>
      <w:r w:rsidR="00A85D63">
        <w:rPr>
          <w:rFonts w:eastAsia="Times New Roman" w:cs="Times New Roman"/>
        </w:rPr>
        <w:t xml:space="preserve">policies and </w:t>
      </w:r>
      <w:r>
        <w:rPr>
          <w:rFonts w:eastAsia="Times New Roman" w:cs="Times New Roman"/>
        </w:rPr>
        <w:t>systems</w:t>
      </w:r>
      <w:r w:rsidRPr="00223542">
        <w:rPr>
          <w:rFonts w:eastAsia="Times New Roman" w:cs="Times New Roman"/>
        </w:rPr>
        <w:t xml:space="preserve">. As a result, it currently accepts a set of funding mechanisms that </w:t>
      </w:r>
      <w:r w:rsidR="0077565A" w:rsidRPr="00223542">
        <w:rPr>
          <w:rFonts w:eastAsia="Times New Roman" w:cs="Times New Roman"/>
        </w:rPr>
        <w:t>risk overspending</w:t>
      </w:r>
      <w:r w:rsidRPr="00223542">
        <w:rPr>
          <w:rFonts w:eastAsia="Times New Roman" w:cs="Times New Roman"/>
        </w:rPr>
        <w:t xml:space="preserve"> for those services or</w:t>
      </w:r>
      <w:r w:rsidR="00EF2E00">
        <w:rPr>
          <w:rFonts w:eastAsia="Times New Roman" w:cs="Times New Roman"/>
        </w:rPr>
        <w:t xml:space="preserve"> routinely accepts risk of anti</w:t>
      </w:r>
      <w:r w:rsidRPr="00223542">
        <w:rPr>
          <w:rFonts w:eastAsia="Times New Roman" w:cs="Times New Roman"/>
        </w:rPr>
        <w:t>deficiency.</w:t>
      </w:r>
      <w:r>
        <w:rPr>
          <w:rFonts w:eastAsia="Times New Roman" w:cs="Times New Roman"/>
        </w:rPr>
        <w:t xml:space="preserve"> The current </w:t>
      </w:r>
      <w:r w:rsidR="00A85D63">
        <w:rPr>
          <w:rFonts w:eastAsia="Times New Roman" w:cs="Times New Roman"/>
        </w:rPr>
        <w:t xml:space="preserve">mechanisms </w:t>
      </w:r>
      <w:r>
        <w:rPr>
          <w:rFonts w:eastAsia="Times New Roman" w:cs="Times New Roman"/>
        </w:rPr>
        <w:t xml:space="preserve">of Federal funds systems works directly against the </w:t>
      </w:r>
      <w:r w:rsidR="00A85D63">
        <w:rPr>
          <w:rFonts w:eastAsia="Times New Roman" w:cs="Times New Roman"/>
        </w:rPr>
        <w:t>intended</w:t>
      </w:r>
      <w:r>
        <w:rPr>
          <w:rFonts w:eastAsia="Times New Roman" w:cs="Times New Roman"/>
        </w:rPr>
        <w:t xml:space="preserve"> business </w:t>
      </w:r>
      <w:r w:rsidR="00A85D63">
        <w:rPr>
          <w:rFonts w:eastAsia="Times New Roman" w:cs="Times New Roman"/>
        </w:rPr>
        <w:t>advantages</w:t>
      </w:r>
      <w:r>
        <w:rPr>
          <w:rFonts w:eastAsia="Times New Roman" w:cs="Times New Roman"/>
        </w:rPr>
        <w:t xml:space="preserve"> of cloud computing. This is the most impactful issue facing the Federal Government</w:t>
      </w:r>
      <w:r w:rsidR="0034749A">
        <w:rPr>
          <w:rFonts w:eastAsia="Times New Roman" w:cs="Times New Roman"/>
        </w:rPr>
        <w:t xml:space="preserve"> with cloud computing</w:t>
      </w:r>
      <w:r>
        <w:rPr>
          <w:rFonts w:eastAsia="Times New Roman" w:cs="Times New Roman"/>
        </w:rPr>
        <w:t xml:space="preserve">. </w:t>
      </w:r>
      <w:r w:rsidR="00430A13">
        <w:rPr>
          <w:rFonts w:eastAsia="Times New Roman" w:cs="Times New Roman"/>
        </w:rPr>
        <w:t>While t</w:t>
      </w:r>
      <w:r>
        <w:rPr>
          <w:rFonts w:eastAsia="Times New Roman" w:cs="Times New Roman"/>
        </w:rPr>
        <w:t>here are other disadvantages in the current Federal structures</w:t>
      </w:r>
      <w:r w:rsidR="00430A13">
        <w:rPr>
          <w:rFonts w:eastAsia="Times New Roman" w:cs="Times New Roman"/>
        </w:rPr>
        <w:t xml:space="preserve">, they generally </w:t>
      </w:r>
      <w:r w:rsidR="006F369F">
        <w:rPr>
          <w:rFonts w:eastAsia="Times New Roman" w:cs="Times New Roman"/>
        </w:rPr>
        <w:t xml:space="preserve">have a </w:t>
      </w:r>
      <w:r w:rsidR="00A85D63">
        <w:rPr>
          <w:rFonts w:eastAsia="Times New Roman" w:cs="Times New Roman"/>
        </w:rPr>
        <w:t xml:space="preserve">much lower impact </w:t>
      </w:r>
      <w:r w:rsidR="000376FA">
        <w:rPr>
          <w:rFonts w:eastAsia="Times New Roman" w:cs="Times New Roman"/>
        </w:rPr>
        <w:t>than</w:t>
      </w:r>
      <w:r>
        <w:rPr>
          <w:rFonts w:eastAsia="Times New Roman" w:cs="Times New Roman"/>
        </w:rPr>
        <w:t xml:space="preserve"> funding</w:t>
      </w:r>
      <w:r w:rsidR="006F369F">
        <w:rPr>
          <w:rFonts w:eastAsia="Times New Roman" w:cs="Times New Roman"/>
        </w:rPr>
        <w:t xml:space="preserve"> constraints</w:t>
      </w:r>
      <w:r>
        <w:rPr>
          <w:rFonts w:eastAsia="Times New Roman" w:cs="Times New Roman"/>
        </w:rPr>
        <w:t>.</w:t>
      </w:r>
      <w:r w:rsidR="00C70AE1">
        <w:rPr>
          <w:rFonts w:eastAsia="Times New Roman" w:cs="Times New Roman"/>
        </w:rPr>
        <w:t xml:space="preserve"> </w:t>
      </w:r>
    </w:p>
    <w:p w14:paraId="325F7A83" w14:textId="6CC0DECC" w:rsidR="00235A12" w:rsidRDefault="006F369F" w:rsidP="00BE384B">
      <w:pPr>
        <w:pStyle w:val="Caption"/>
      </w:pPr>
      <w:bookmarkStart w:id="8" w:name="_Toc487802633"/>
      <w:r>
        <w:t xml:space="preserve">Exhibit </w:t>
      </w:r>
      <w:fldSimple w:instr=" SEQ Exhibit \* ARABIC ">
        <w:r w:rsidR="00E122BF">
          <w:rPr>
            <w:noProof/>
          </w:rPr>
          <w:t>3</w:t>
        </w:r>
      </w:fldSimple>
      <w:r w:rsidR="00235A12">
        <w:t xml:space="preserve"> - Comparison of </w:t>
      </w:r>
      <w:r w:rsidR="00235A12" w:rsidRPr="00BE384B">
        <w:t>Funding</w:t>
      </w:r>
      <w:r w:rsidR="00235A12">
        <w:t xml:space="preserve"> Models</w:t>
      </w:r>
      <w:bookmarkEnd w:id="8"/>
    </w:p>
    <w:p w14:paraId="57A495FA" w14:textId="08392ABF" w:rsidR="00742FA8" w:rsidRDefault="00E2312A" w:rsidP="00A81C48">
      <w:pPr>
        <w:pStyle w:val="Graphic"/>
      </w:pPr>
      <w:r w:rsidRPr="00B544D0">
        <w:drawing>
          <wp:inline distT="0" distB="0" distL="0" distR="0" wp14:anchorId="1867BDBA" wp14:editId="643EE091">
            <wp:extent cx="5943600" cy="27184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718435"/>
                    </a:xfrm>
                    <a:prstGeom prst="rect">
                      <a:avLst/>
                    </a:prstGeom>
                  </pic:spPr>
                </pic:pic>
              </a:graphicData>
            </a:graphic>
          </wp:inline>
        </w:drawing>
      </w:r>
    </w:p>
    <w:p w14:paraId="601A8AFC" w14:textId="78059B1E" w:rsidR="00742FA8" w:rsidRDefault="005A31BA">
      <w:r>
        <w:rPr>
          <w:rFonts w:eastAsia="Times New Roman" w:cs="Times New Roman"/>
        </w:rPr>
        <w:t xml:space="preserve">To solve the funding challenge, the </w:t>
      </w:r>
      <w:r w:rsidR="00BE384B">
        <w:rPr>
          <w:rFonts w:eastAsia="Times New Roman" w:cs="Times New Roman"/>
        </w:rPr>
        <w:t>Guide</w:t>
      </w:r>
      <w:r>
        <w:rPr>
          <w:rFonts w:eastAsia="Times New Roman" w:cs="Times New Roman"/>
        </w:rPr>
        <w:t xml:space="preserve"> recommends a set of actions </w:t>
      </w:r>
      <w:r w:rsidR="00430A13">
        <w:rPr>
          <w:rFonts w:eastAsia="Times New Roman" w:cs="Times New Roman"/>
        </w:rPr>
        <w:t xml:space="preserve">to </w:t>
      </w:r>
      <w:r>
        <w:rPr>
          <w:rFonts w:eastAsia="Times New Roman" w:cs="Times New Roman"/>
        </w:rPr>
        <w:t xml:space="preserve">mitigate these disadvantages. Most importantly, it recommends the free and active use of Time and Materials </w:t>
      </w:r>
      <w:r w:rsidR="00430A13">
        <w:rPr>
          <w:rFonts w:eastAsia="Times New Roman" w:cs="Times New Roman"/>
        </w:rPr>
        <w:t xml:space="preserve">(T&amp;M) </w:t>
      </w:r>
      <w:r w:rsidR="009356DD">
        <w:rPr>
          <w:rFonts w:eastAsia="Times New Roman" w:cs="Times New Roman"/>
        </w:rPr>
        <w:t xml:space="preserve">type </w:t>
      </w:r>
      <w:r>
        <w:rPr>
          <w:rFonts w:eastAsia="Times New Roman" w:cs="Times New Roman"/>
        </w:rPr>
        <w:t xml:space="preserve">contracts for cloud computing contracts, and a clarification of </w:t>
      </w:r>
      <w:r w:rsidR="00430A13">
        <w:rPr>
          <w:rFonts w:eastAsia="Times New Roman" w:cs="Times New Roman"/>
        </w:rPr>
        <w:t>T&amp;M</w:t>
      </w:r>
      <w:r>
        <w:rPr>
          <w:rFonts w:eastAsia="Times New Roman" w:cs="Times New Roman"/>
        </w:rPr>
        <w:t xml:space="preserve"> contracting within the </w:t>
      </w:r>
      <w:r w:rsidR="00220472">
        <w:rPr>
          <w:rFonts w:eastAsia="Times New Roman" w:cs="Times New Roman"/>
        </w:rPr>
        <w:t>Federal Acquisition Regulations (</w:t>
      </w:r>
      <w:r>
        <w:rPr>
          <w:rFonts w:eastAsia="Times New Roman" w:cs="Times New Roman"/>
        </w:rPr>
        <w:t>FAR</w:t>
      </w:r>
      <w:r w:rsidR="00220472">
        <w:rPr>
          <w:rFonts w:eastAsia="Times New Roman" w:cs="Times New Roman"/>
        </w:rPr>
        <w:t>)</w:t>
      </w:r>
      <w:r>
        <w:rPr>
          <w:rFonts w:eastAsia="Times New Roman" w:cs="Times New Roman"/>
        </w:rPr>
        <w:t xml:space="preserve">. </w:t>
      </w:r>
      <w:r w:rsidR="006B259C">
        <w:rPr>
          <w:rFonts w:eastAsia="Times New Roman" w:cs="Times New Roman"/>
        </w:rPr>
        <w:t xml:space="preserve">Specific approaches, pros and cons, and additional detail are </w:t>
      </w:r>
      <w:r w:rsidR="00BE384B">
        <w:rPr>
          <w:rFonts w:eastAsia="Times New Roman" w:cs="Times New Roman"/>
        </w:rPr>
        <w:t xml:space="preserve">located </w:t>
      </w:r>
      <w:r w:rsidR="006B259C">
        <w:rPr>
          <w:rFonts w:eastAsia="Times New Roman" w:cs="Times New Roman"/>
        </w:rPr>
        <w:t xml:space="preserve">in the </w:t>
      </w:r>
      <w:r w:rsidR="00BE384B">
        <w:rPr>
          <w:rFonts w:eastAsia="Times New Roman" w:cs="Times New Roman"/>
        </w:rPr>
        <w:t>Guide</w:t>
      </w:r>
      <w:r w:rsidR="006B259C">
        <w:rPr>
          <w:rFonts w:eastAsia="Times New Roman" w:cs="Times New Roman"/>
        </w:rPr>
        <w:t xml:space="preserve"> chapter Paying for Cloud.</w:t>
      </w:r>
    </w:p>
    <w:p w14:paraId="08841CF8" w14:textId="55B12473" w:rsidR="00E122BF" w:rsidRDefault="00F3098F" w:rsidP="00E122BF">
      <w:pPr>
        <w:pStyle w:val="Heading1"/>
      </w:pPr>
      <w:bookmarkStart w:id="9" w:name="_Toc487802610"/>
      <w:r>
        <w:t xml:space="preserve">Core </w:t>
      </w:r>
      <w:r w:rsidR="005A31BA">
        <w:t xml:space="preserve">Cloud </w:t>
      </w:r>
      <w:r w:rsidR="00BE384B">
        <w:t>Guide</w:t>
      </w:r>
      <w:bookmarkEnd w:id="9"/>
    </w:p>
    <w:p w14:paraId="03905E9D" w14:textId="122249F1" w:rsidR="00742FA8" w:rsidRPr="002D3EA1" w:rsidRDefault="005A31BA" w:rsidP="00E122BF">
      <w:pPr>
        <w:pStyle w:val="Heading2"/>
        <w:numPr>
          <w:ilvl w:val="1"/>
          <w:numId w:val="28"/>
        </w:numPr>
      </w:pPr>
      <w:bookmarkStart w:id="10" w:name="_Toc487802611"/>
      <w:r w:rsidRPr="002D3EA1">
        <w:t xml:space="preserve">Visual </w:t>
      </w:r>
      <w:r w:rsidR="002D3EA1" w:rsidRPr="00A76CF5">
        <w:t>Scenario</w:t>
      </w:r>
      <w:r w:rsidRPr="002D3EA1">
        <w:t xml:space="preserve"> Reference</w:t>
      </w:r>
      <w:bookmarkEnd w:id="10"/>
    </w:p>
    <w:p w14:paraId="29CE2AEF" w14:textId="3E1E5A29" w:rsidR="00B91DC3" w:rsidRDefault="00B433AE" w:rsidP="006B06BB">
      <w:r>
        <w:t>Federa</w:t>
      </w:r>
      <w:r w:rsidR="00F53D0F">
        <w:t>l agencies face a common set of</w:t>
      </w:r>
      <w:r w:rsidR="005A31BA">
        <w:t xml:space="preserve"> situations when deciding to acquire cloud solutions. This is the basis for the scenario-based approach that this </w:t>
      </w:r>
      <w:r w:rsidR="002D3EA1">
        <w:t>Guide</w:t>
      </w:r>
      <w:r w:rsidR="005A31BA">
        <w:t xml:space="preserve"> takes. The most common </w:t>
      </w:r>
      <w:r w:rsidR="001C36A5">
        <w:t xml:space="preserve">instructive </w:t>
      </w:r>
      <w:r w:rsidR="005A31BA">
        <w:t xml:space="preserve">situations are reflected in </w:t>
      </w:r>
      <w:r w:rsidR="002D3EA1">
        <w:fldChar w:fldCharType="begin"/>
      </w:r>
      <w:r w:rsidR="002D3EA1">
        <w:instrText xml:space="preserve"> REF _Ref487714440 \h </w:instrText>
      </w:r>
      <w:r w:rsidR="002D3EA1">
        <w:fldChar w:fldCharType="separate"/>
      </w:r>
      <w:r w:rsidR="00E122BF">
        <w:t xml:space="preserve">Exhibit </w:t>
      </w:r>
      <w:r w:rsidR="00E122BF">
        <w:rPr>
          <w:noProof/>
        </w:rPr>
        <w:t>4</w:t>
      </w:r>
      <w:r w:rsidR="002D3EA1">
        <w:fldChar w:fldCharType="end"/>
      </w:r>
      <w:r w:rsidR="00A866C2">
        <w:t xml:space="preserve">, Visual </w:t>
      </w:r>
      <w:r w:rsidR="002D3EA1">
        <w:t>Scenario</w:t>
      </w:r>
      <w:r w:rsidR="00A866C2">
        <w:t xml:space="preserve"> Reference below. </w:t>
      </w:r>
      <w:r w:rsidR="005A31BA">
        <w:t xml:space="preserve">Usually, the situation </w:t>
      </w:r>
      <w:r w:rsidR="00A866C2">
        <w:t xml:space="preserve">and needs </w:t>
      </w:r>
      <w:r w:rsidR="005A31BA">
        <w:t xml:space="preserve">of an agency </w:t>
      </w:r>
      <w:r w:rsidR="006B06BB">
        <w:t xml:space="preserve">can be </w:t>
      </w:r>
      <w:r>
        <w:t xml:space="preserve">organized </w:t>
      </w:r>
      <w:r w:rsidR="006B06BB">
        <w:t>into four categories of services</w:t>
      </w:r>
      <w:r w:rsidR="00F910D4">
        <w:t>:</w:t>
      </w:r>
    </w:p>
    <w:p w14:paraId="7083731F" w14:textId="7EB8D9E4" w:rsidR="00F910D4" w:rsidRPr="00D32FAD" w:rsidRDefault="00F910D4" w:rsidP="00946FD0">
      <w:pPr>
        <w:pStyle w:val="BodyBullet1"/>
      </w:pPr>
      <w:r w:rsidRPr="002D3EA1">
        <w:rPr>
          <w:b/>
        </w:rPr>
        <w:t>Inventory Assessment.</w:t>
      </w:r>
      <w:r w:rsidR="00174399" w:rsidRPr="002D3EA1">
        <w:t xml:space="preserve"> </w:t>
      </w:r>
      <w:r w:rsidRPr="00D32FAD">
        <w:t>A formal, documented</w:t>
      </w:r>
      <w:r w:rsidR="00237A0D" w:rsidRPr="00D32FAD">
        <w:t>,</w:t>
      </w:r>
      <w:r w:rsidRPr="00D32FAD">
        <w:t xml:space="preserve"> and current record of applications and IT assets with corresponding descriptive attributes.</w:t>
      </w:r>
      <w:r w:rsidR="005A31BA" w:rsidRPr="00D32FAD">
        <w:t xml:space="preserve"> </w:t>
      </w:r>
    </w:p>
    <w:p w14:paraId="6FE9C51F" w14:textId="2E02B992" w:rsidR="00F910D4" w:rsidRPr="00D32FAD" w:rsidRDefault="00F910D4" w:rsidP="00946FD0">
      <w:pPr>
        <w:pStyle w:val="BodyBullet1"/>
      </w:pPr>
      <w:r w:rsidRPr="002D3EA1">
        <w:rPr>
          <w:b/>
        </w:rPr>
        <w:t>Application Preparation.</w:t>
      </w:r>
      <w:r w:rsidRPr="002D3EA1">
        <w:t xml:space="preserve"> </w:t>
      </w:r>
      <w:r w:rsidRPr="00D32FAD">
        <w:t>Applications that will be moved into the cloud are refactored</w:t>
      </w:r>
      <w:r w:rsidR="00A3164E" w:rsidRPr="00D32FAD">
        <w:t>, modernized,</w:t>
      </w:r>
      <w:r w:rsidRPr="00D32FAD">
        <w:t xml:space="preserve"> and certified to run in a cloud. </w:t>
      </w:r>
    </w:p>
    <w:p w14:paraId="13EFE6CC" w14:textId="77777777" w:rsidR="00F910D4" w:rsidRPr="00D32FAD" w:rsidRDefault="00F910D4" w:rsidP="00946FD0">
      <w:pPr>
        <w:pStyle w:val="BodyBullet1"/>
      </w:pPr>
      <w:r w:rsidRPr="002D3EA1">
        <w:rPr>
          <w:b/>
        </w:rPr>
        <w:t>Migration Support.</w:t>
      </w:r>
      <w:r w:rsidRPr="002D3EA1">
        <w:t xml:space="preserve"> </w:t>
      </w:r>
      <w:r w:rsidRPr="00D32FAD">
        <w:t xml:space="preserve">A determination regarding how the migration will be performed - whether internal agency resources will perform the migration to the cloud or this work will be sourced. </w:t>
      </w:r>
    </w:p>
    <w:p w14:paraId="548A6083" w14:textId="4BE69690" w:rsidR="00742FA8" w:rsidRPr="00D32FAD" w:rsidRDefault="00F910D4" w:rsidP="00946FD0">
      <w:pPr>
        <w:pStyle w:val="BodyBullet1"/>
      </w:pPr>
      <w:r w:rsidRPr="002D3EA1">
        <w:rPr>
          <w:b/>
        </w:rPr>
        <w:t>CSP.</w:t>
      </w:r>
      <w:r w:rsidRPr="002D3EA1">
        <w:t xml:space="preserve"> </w:t>
      </w:r>
      <w:r w:rsidR="00AC62C7" w:rsidRPr="00D32FAD">
        <w:t xml:space="preserve">The </w:t>
      </w:r>
      <w:r w:rsidR="00237A0D" w:rsidRPr="00D32FAD">
        <w:t>agency will obtain t</w:t>
      </w:r>
      <w:r w:rsidR="00AC62C7" w:rsidRPr="00D32FAD">
        <w:t xml:space="preserve">he </w:t>
      </w:r>
      <w:r w:rsidR="00A3164E" w:rsidRPr="00D32FAD">
        <w:t>core cloud computing services (e.g.</w:t>
      </w:r>
      <w:r w:rsidR="002D3EA1" w:rsidRPr="00D32FAD">
        <w:t>,</w:t>
      </w:r>
      <w:r w:rsidR="00A3164E" w:rsidRPr="00D32FAD">
        <w:t xml:space="preserve"> hosting) from </w:t>
      </w:r>
      <w:r w:rsidR="00AC62C7" w:rsidRPr="00D32FAD">
        <w:t>the cloud service provider</w:t>
      </w:r>
      <w:r w:rsidR="00A93834" w:rsidRPr="00D32FAD">
        <w:t xml:space="preserve"> (CSP)</w:t>
      </w:r>
      <w:r w:rsidR="00AC62C7" w:rsidRPr="00D32FAD">
        <w:t xml:space="preserve">. </w:t>
      </w:r>
    </w:p>
    <w:p w14:paraId="5BA55343" w14:textId="1EDEB8B9" w:rsidR="00742FA8" w:rsidRDefault="00A866C2">
      <w:r>
        <w:t xml:space="preserve">Once an agency determines the </w:t>
      </w:r>
      <w:r w:rsidR="00174399">
        <w:t>results of these factors</w:t>
      </w:r>
      <w:r>
        <w:t xml:space="preserve">, </w:t>
      </w:r>
      <w:r w:rsidR="005A31BA">
        <w:t xml:space="preserve">an agency stakeholder </w:t>
      </w:r>
      <w:r>
        <w:t xml:space="preserve">can </w:t>
      </w:r>
      <w:r w:rsidR="005A31BA">
        <w:t xml:space="preserve">immediately turn to the </w:t>
      </w:r>
      <w:r w:rsidR="002D3EA1">
        <w:t>scenario</w:t>
      </w:r>
      <w:r w:rsidR="005A31BA">
        <w:t xml:space="preserve"> that intersects most often with the answers to the knowledge questions of the agency. Once the agency locates the tab to that particular </w:t>
      </w:r>
      <w:r w:rsidR="002D3EA1">
        <w:t>scenario</w:t>
      </w:r>
      <w:r w:rsidR="005A31BA">
        <w:t xml:space="preserve">, they can turn to that section of the </w:t>
      </w:r>
      <w:r w:rsidR="002D3EA1">
        <w:t>Guide</w:t>
      </w:r>
      <w:r w:rsidR="005A31BA">
        <w:t xml:space="preserve"> to begin preparing for and acquiring t</w:t>
      </w:r>
      <w:r>
        <w:t xml:space="preserve">he needed </w:t>
      </w:r>
      <w:r w:rsidR="005A31BA">
        <w:t>service</w:t>
      </w:r>
      <w:r>
        <w:t>s</w:t>
      </w:r>
      <w:r w:rsidR="005A31BA">
        <w:t xml:space="preserve">. Because it is true the </w:t>
      </w:r>
      <w:r w:rsidR="002D3EA1">
        <w:t>Guide</w:t>
      </w:r>
      <w:r w:rsidR="005A31BA">
        <w:t xml:space="preserve"> is not exhaustive, program managers must be willing to assess intent, generally apply criteria</w:t>
      </w:r>
      <w:r w:rsidR="002D3EA1">
        <w:t>,</w:t>
      </w:r>
      <w:r w:rsidR="005A31BA">
        <w:t xml:space="preserve"> and make decisions when using the </w:t>
      </w:r>
      <w:r w:rsidR="002D3EA1">
        <w:t>Guide</w:t>
      </w:r>
      <w:r w:rsidR="00AF063B">
        <w:t>.</w:t>
      </w:r>
      <w:r w:rsidR="005A31BA">
        <w:t xml:space="preserve"> The decision regarding the proximity of the situation of the agen</w:t>
      </w:r>
      <w:r w:rsidR="00DE0840">
        <w:t>cy to these factors will</w:t>
      </w:r>
      <w:r w:rsidR="005A31BA">
        <w:t xml:space="preserve"> result in valuable and actionable information allowing them to get their acquisition started. </w:t>
      </w:r>
    </w:p>
    <w:p w14:paraId="4572D52E" w14:textId="7C2D43FA" w:rsidR="00B301CD" w:rsidRDefault="00B301CD" w:rsidP="00A76CF5">
      <w:pPr>
        <w:pStyle w:val="Heading3"/>
      </w:pPr>
      <w:r>
        <w:t>To Use</w:t>
      </w:r>
      <w:r w:rsidR="001E5837">
        <w:t xml:space="preserve"> </w:t>
      </w:r>
      <w:r>
        <w:t>th</w:t>
      </w:r>
      <w:r w:rsidR="001E5837">
        <w:t>e</w:t>
      </w:r>
      <w:r>
        <w:t xml:space="preserve"> </w:t>
      </w:r>
      <w:r w:rsidR="002D3EA1">
        <w:t>Guide</w:t>
      </w:r>
    </w:p>
    <w:p w14:paraId="70780ABA" w14:textId="68180FBD" w:rsidR="00742FA8" w:rsidRDefault="007E55A5" w:rsidP="006C538E">
      <w:r>
        <w:t>Evaluate</w:t>
      </w:r>
      <w:r w:rsidR="00457F3C">
        <w:t xml:space="preserve"> the situation of your agency relative to the </w:t>
      </w:r>
      <w:r w:rsidR="000B1AC6">
        <w:t xml:space="preserve">four </w:t>
      </w:r>
      <w:r w:rsidR="006E281A">
        <w:t xml:space="preserve">factors above and reflected as Services Sought headers in the Visual </w:t>
      </w:r>
      <w:r w:rsidR="002D3EA1">
        <w:t>Scenario</w:t>
      </w:r>
      <w:r w:rsidR="006E281A">
        <w:t xml:space="preserve"> Reference below.</w:t>
      </w:r>
      <w:r w:rsidR="001E5837">
        <w:t xml:space="preserve"> </w:t>
      </w:r>
      <w:r w:rsidR="00457F3C">
        <w:t>Assess your needs by column starting with “Inventory Assessment.” Mark whether you “Need This” or “</w:t>
      </w:r>
      <w:r w:rsidR="00533ABA">
        <w:t>Have This</w:t>
      </w:r>
      <w:r w:rsidR="00457F3C">
        <w:t xml:space="preserve">.” Move to the next column and make the same assessment for “Application Preparation.” Make the same assessment in the final two columns. </w:t>
      </w:r>
      <w:r w:rsidR="001E5837">
        <w:t>Identify the row that has the most “Need This”</w:t>
      </w:r>
      <w:r w:rsidR="00A866C2">
        <w:t xml:space="preserve"> Marks.</w:t>
      </w:r>
      <w:r w:rsidR="001E5837">
        <w:t xml:space="preserve"> </w:t>
      </w:r>
      <w:r w:rsidR="00457F3C">
        <w:t xml:space="preserve">Your agency should run the </w:t>
      </w:r>
      <w:r w:rsidR="002D3EA1">
        <w:t>scenario</w:t>
      </w:r>
      <w:r w:rsidR="00457F3C">
        <w:t xml:space="preserve"> that corresponds to this row. </w:t>
      </w:r>
    </w:p>
    <w:p w14:paraId="536AC850" w14:textId="08B2311F" w:rsidR="00235A12" w:rsidRDefault="005832B8" w:rsidP="00BE384B">
      <w:pPr>
        <w:pStyle w:val="Caption"/>
      </w:pPr>
      <w:bookmarkStart w:id="11" w:name="_Ref487714440"/>
      <w:bookmarkStart w:id="12" w:name="_Toc487802634"/>
      <w:r>
        <w:t>Exhibit</w:t>
      </w:r>
      <w:r w:rsidR="00235A12">
        <w:t xml:space="preserve"> </w:t>
      </w:r>
      <w:fldSimple w:instr=" SEQ Exhibit \* ARABIC ">
        <w:r w:rsidR="00E122BF">
          <w:rPr>
            <w:noProof/>
          </w:rPr>
          <w:t>4</w:t>
        </w:r>
      </w:fldSimple>
      <w:bookmarkEnd w:id="11"/>
      <w:r w:rsidR="00235A12">
        <w:t xml:space="preserve"> - Visual </w:t>
      </w:r>
      <w:r w:rsidR="002D3EA1">
        <w:t>Scenario</w:t>
      </w:r>
      <w:r w:rsidR="00235A12">
        <w:t xml:space="preserve"> Reference</w:t>
      </w:r>
      <w:bookmarkEnd w:id="12"/>
    </w:p>
    <w:p w14:paraId="61CEDAA1" w14:textId="15BE672C" w:rsidR="001E5837" w:rsidRDefault="00C64C2B">
      <w:pPr>
        <w:spacing w:after="0"/>
        <w:rPr>
          <w:rFonts w:eastAsia="Arial" w:cs="Arial"/>
        </w:rPr>
      </w:pPr>
      <w:r>
        <w:rPr>
          <w:rFonts w:eastAsia="Arial" w:cs="Arial"/>
          <w:noProof/>
        </w:rPr>
        <w:drawing>
          <wp:inline distT="0" distB="0" distL="0" distR="0" wp14:anchorId="4488AF6B" wp14:editId="09E0D09D">
            <wp:extent cx="5956935" cy="3593610"/>
            <wp:effectExtent l="0" t="0" r="12065"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4207" cy="3604029"/>
                    </a:xfrm>
                    <a:prstGeom prst="rect">
                      <a:avLst/>
                    </a:prstGeom>
                    <a:noFill/>
                  </pic:spPr>
                </pic:pic>
              </a:graphicData>
            </a:graphic>
          </wp:inline>
        </w:drawing>
      </w:r>
    </w:p>
    <w:p w14:paraId="561F0F05" w14:textId="6473C72C" w:rsidR="00742FA8" w:rsidRDefault="002D3EA1" w:rsidP="00E122BF">
      <w:pPr>
        <w:pStyle w:val="Heading2"/>
      </w:pPr>
      <w:bookmarkStart w:id="13" w:name="_Toc487802612"/>
      <w:r>
        <w:t>Scenario</w:t>
      </w:r>
      <w:r w:rsidR="005A31BA">
        <w:t xml:space="preserve"> S</w:t>
      </w:r>
      <w:r w:rsidR="001F19DA">
        <w:t>tructure</w:t>
      </w:r>
      <w:bookmarkEnd w:id="13"/>
    </w:p>
    <w:p w14:paraId="00902024" w14:textId="6288E76D" w:rsidR="00742FA8" w:rsidRDefault="00ED4E93">
      <w:pPr>
        <w:spacing w:after="0"/>
      </w:pPr>
      <w:r>
        <w:t>As</w:t>
      </w:r>
      <w:r w:rsidR="005A31BA">
        <w:t xml:space="preserve"> mentioned before</w:t>
      </w:r>
      <w:r w:rsidR="000B1AC6">
        <w:t>,</w:t>
      </w:r>
      <w:r w:rsidR="005A31BA">
        <w:t xml:space="preserve"> the </w:t>
      </w:r>
      <w:r w:rsidR="002D3EA1">
        <w:t>Guide</w:t>
      </w:r>
      <w:r w:rsidR="005A31BA">
        <w:t xml:space="preserve"> is a scenario-based document. </w:t>
      </w:r>
      <w:r w:rsidR="00AF063B">
        <w:t xml:space="preserve">Once the </w:t>
      </w:r>
      <w:r w:rsidR="002D3EA1">
        <w:t>scenario</w:t>
      </w:r>
      <w:r w:rsidR="00AF063B">
        <w:t xml:space="preserve"> is identified, agencies should read through the </w:t>
      </w:r>
      <w:r w:rsidR="002D3EA1">
        <w:t>scenario</w:t>
      </w:r>
      <w:r w:rsidR="00AF063B">
        <w:t xml:space="preserve"> components. The </w:t>
      </w:r>
      <w:r w:rsidR="002D3EA1">
        <w:t>scenario</w:t>
      </w:r>
      <w:r w:rsidR="00AF063B">
        <w:t xml:space="preserve"> component definitions are defined below.</w:t>
      </w:r>
    </w:p>
    <w:p w14:paraId="0A6AB9D2" w14:textId="77777777" w:rsidR="00891B2A" w:rsidRDefault="00891B2A">
      <w:pPr>
        <w:spacing w:after="0"/>
      </w:pPr>
    </w:p>
    <w:p w14:paraId="342DB914" w14:textId="7EFE3071" w:rsidR="00742FA8" w:rsidRDefault="00075A77" w:rsidP="0095635A">
      <w:pPr>
        <w:spacing w:after="0"/>
        <w:ind w:left="720"/>
      </w:pPr>
      <w:r>
        <w:rPr>
          <w:b/>
        </w:rPr>
        <w:t>Initial Conditions</w:t>
      </w:r>
      <w:r w:rsidR="005A31BA">
        <w:rPr>
          <w:b/>
        </w:rPr>
        <w:t>.</w:t>
      </w:r>
      <w:r w:rsidR="005A31BA">
        <w:t xml:space="preserve"> This is a composite situation of factors that have been brought together in a rationalized </w:t>
      </w:r>
      <w:r w:rsidR="00E20D69">
        <w:t xml:space="preserve">set of information </w:t>
      </w:r>
      <w:r w:rsidR="005A31BA">
        <w:t xml:space="preserve">to better communicate and guide cloud elements that stakeholders should be considering when planning a cloud acquisition. All of the elements in the scenario influence applicability of the scenario, but the more directly </w:t>
      </w:r>
      <w:r w:rsidR="00E20D69">
        <w:t xml:space="preserve">the scenario information is </w:t>
      </w:r>
      <w:r w:rsidR="005A31BA">
        <w:t xml:space="preserve">related to the </w:t>
      </w:r>
      <w:r w:rsidR="00E20D69">
        <w:t xml:space="preserve">factors of consideration </w:t>
      </w:r>
      <w:r w:rsidR="005A31BA">
        <w:t xml:space="preserve">in the </w:t>
      </w:r>
      <w:r w:rsidR="00E20D69">
        <w:t>V</w:t>
      </w:r>
      <w:r w:rsidR="005A31BA">
        <w:t xml:space="preserve">isual </w:t>
      </w:r>
      <w:r w:rsidR="002D3EA1">
        <w:t>Scenario</w:t>
      </w:r>
      <w:r w:rsidR="000B1AC6">
        <w:t xml:space="preserve"> </w:t>
      </w:r>
      <w:r w:rsidR="00E20D69">
        <w:t>R</w:t>
      </w:r>
      <w:r w:rsidR="005A31BA">
        <w:t xml:space="preserve">eference the more strongly agencies should consider them when making decisions. </w:t>
      </w:r>
    </w:p>
    <w:p w14:paraId="44D64EEA" w14:textId="77777777" w:rsidR="00AF063B" w:rsidRDefault="00AF063B" w:rsidP="0095635A">
      <w:pPr>
        <w:spacing w:after="0"/>
        <w:ind w:left="720"/>
      </w:pPr>
    </w:p>
    <w:p w14:paraId="0ADA3B1B" w14:textId="709E386B" w:rsidR="00742FA8" w:rsidRDefault="005A31BA" w:rsidP="0095635A">
      <w:pPr>
        <w:spacing w:after="0"/>
        <w:ind w:left="720"/>
      </w:pPr>
      <w:r>
        <w:rPr>
          <w:b/>
        </w:rPr>
        <w:t xml:space="preserve">Additional Assumptions </w:t>
      </w:r>
      <w:r>
        <w:t xml:space="preserve">(to </w:t>
      </w:r>
      <w:r w:rsidR="000B1AC6">
        <w:t>S</w:t>
      </w:r>
      <w:r>
        <w:t>cenario above)</w:t>
      </w:r>
      <w:r>
        <w:rPr>
          <w:b/>
        </w:rPr>
        <w:t xml:space="preserve">. </w:t>
      </w:r>
      <w:r>
        <w:t>These assumptions are provided to further refine agency assessment and decision-making.</w:t>
      </w:r>
    </w:p>
    <w:p w14:paraId="6C9E39F3" w14:textId="77777777" w:rsidR="00AF063B" w:rsidRDefault="00AF063B" w:rsidP="0095635A">
      <w:pPr>
        <w:spacing w:after="0"/>
        <w:ind w:left="720"/>
      </w:pPr>
    </w:p>
    <w:p w14:paraId="15460E7F" w14:textId="475BA976" w:rsidR="00742FA8" w:rsidRDefault="005A31BA" w:rsidP="0095635A">
      <w:pPr>
        <w:spacing w:after="0"/>
        <w:ind w:left="720"/>
      </w:pPr>
      <w:r>
        <w:rPr>
          <w:b/>
        </w:rPr>
        <w:t>Checklist</w:t>
      </w:r>
      <w:r w:rsidR="00066C95">
        <w:rPr>
          <w:b/>
        </w:rPr>
        <w:t>.</w:t>
      </w:r>
      <w:r w:rsidR="00066C95">
        <w:t xml:space="preserve"> This </w:t>
      </w:r>
      <w:r w:rsidR="000B1AC6">
        <w:t>is</w:t>
      </w:r>
      <w:r>
        <w:t xml:space="preserve"> a checklist of items</w:t>
      </w:r>
      <w:r w:rsidR="00066C95">
        <w:t xml:space="preserve"> that should be considered most important</w:t>
      </w:r>
      <w:r>
        <w:t>. While it is possible to achieve success witho</w:t>
      </w:r>
      <w:r w:rsidR="0095635A">
        <w:t>ut these items, it is unlikely.</w:t>
      </w:r>
    </w:p>
    <w:p w14:paraId="3BF38AAF" w14:textId="77777777" w:rsidR="00C53939" w:rsidRDefault="00C53939" w:rsidP="0095635A">
      <w:pPr>
        <w:spacing w:after="0"/>
        <w:ind w:left="720"/>
      </w:pPr>
    </w:p>
    <w:p w14:paraId="09628A1C" w14:textId="11618976" w:rsidR="00742FA8" w:rsidRDefault="005A31BA" w:rsidP="0095635A">
      <w:pPr>
        <w:spacing w:after="0"/>
        <w:ind w:left="720"/>
      </w:pPr>
      <w:r w:rsidRPr="0095635A">
        <w:rPr>
          <w:b/>
        </w:rPr>
        <w:t>Key Questions.</w:t>
      </w:r>
      <w:r>
        <w:t xml:space="preserve"> The list of key questions prompts topics and guidelines that are likely to increase success of a cloud acquisition. The information here expands on key information and topics in the Checklist </w:t>
      </w:r>
      <w:r w:rsidR="000B1AC6">
        <w:t xml:space="preserve">and is </w:t>
      </w:r>
      <w:r>
        <w:t xml:space="preserve">broader in scope </w:t>
      </w:r>
      <w:r w:rsidR="000B1AC6">
        <w:t xml:space="preserve">to </w:t>
      </w:r>
      <w:r>
        <w:t>provide a line of thinking that eases acquisition and increases likelihood for success.</w:t>
      </w:r>
    </w:p>
    <w:p w14:paraId="0D222268" w14:textId="77777777" w:rsidR="00AF063B" w:rsidRDefault="00AF063B" w:rsidP="0095635A">
      <w:pPr>
        <w:spacing w:after="0"/>
        <w:ind w:left="720"/>
      </w:pPr>
    </w:p>
    <w:p w14:paraId="2458F9DD" w14:textId="3EBA03A7" w:rsidR="00742FA8" w:rsidRDefault="005A31BA" w:rsidP="0095635A">
      <w:pPr>
        <w:spacing w:after="0"/>
        <w:ind w:left="720"/>
      </w:pPr>
      <w:r>
        <w:rPr>
          <w:b/>
        </w:rPr>
        <w:t>Discussion.</w:t>
      </w:r>
      <w:r>
        <w:t xml:space="preserve"> This is the area of the most </w:t>
      </w:r>
      <w:r w:rsidR="000B1AC6">
        <w:t>detailed</w:t>
      </w:r>
      <w:r>
        <w:t xml:space="preserve"> exploration of the scenario, its components </w:t>
      </w:r>
      <w:r w:rsidR="000B1AC6">
        <w:t xml:space="preserve">for </w:t>
      </w:r>
      <w:r>
        <w:t>consideration</w:t>
      </w:r>
      <w:r w:rsidR="00ED4E93">
        <w:t>,</w:t>
      </w:r>
      <w:r>
        <w:t xml:space="preserve"> and supporting elements. It is a custom</w:t>
      </w:r>
      <w:r w:rsidR="000B1AC6">
        <w:t>ized</w:t>
      </w:r>
      <w:r>
        <w:t xml:space="preserve"> discussion of the scenario and deals in depth with the key points, risk management, and benefit assessment. </w:t>
      </w:r>
      <w:r w:rsidR="00BD5078">
        <w:t xml:space="preserve">The focus is on </w:t>
      </w:r>
      <w:r w:rsidR="00AF063B">
        <w:t xml:space="preserve">developing </w:t>
      </w:r>
      <w:r w:rsidR="002C5A17">
        <w:t xml:space="preserve">an improved understanding of the services being procured to drive solicitation structure and content to enhance overall project success. </w:t>
      </w:r>
      <w:r>
        <w:t>The deepest information transmission and learning takes place in these discussions.</w:t>
      </w:r>
    </w:p>
    <w:p w14:paraId="047654C7" w14:textId="2F44113D" w:rsidR="00742FA8" w:rsidRDefault="00D32FAD" w:rsidP="00E122BF">
      <w:pPr>
        <w:pStyle w:val="Heading2"/>
      </w:pPr>
      <w:bookmarkStart w:id="14" w:name="_Toc487802613"/>
      <w:r>
        <w:t>Scenario</w:t>
      </w:r>
      <w:bookmarkEnd w:id="14"/>
    </w:p>
    <w:p w14:paraId="180D84B6" w14:textId="48839747" w:rsidR="002C4574" w:rsidRDefault="000F30A1" w:rsidP="000F30A1">
      <w:r>
        <w:t xml:space="preserve">The following subsections present each </w:t>
      </w:r>
      <w:r w:rsidR="00D32FAD">
        <w:t>scenario</w:t>
      </w:r>
      <w:r>
        <w:t xml:space="preserve"> in detail and provide </w:t>
      </w:r>
      <w:r w:rsidR="000B1AC6">
        <w:t xml:space="preserve">the </w:t>
      </w:r>
      <w:r>
        <w:t xml:space="preserve">relevant discussion, checklists, and assumptions that </w:t>
      </w:r>
      <w:r w:rsidR="000B1AC6">
        <w:t>accompany</w:t>
      </w:r>
      <w:r>
        <w:t xml:space="preserve"> each </w:t>
      </w:r>
      <w:r w:rsidR="00D32FAD">
        <w:t>scenario</w:t>
      </w:r>
      <w:r>
        <w:t>.</w:t>
      </w:r>
    </w:p>
    <w:p w14:paraId="58E5B6FE" w14:textId="6BC618E3" w:rsidR="000F30A1" w:rsidRDefault="000F30A1" w:rsidP="000F30A1">
      <w:pPr>
        <w:rPr>
          <w:rFonts w:ascii="Century Schoolbook" w:eastAsiaTheme="majorEastAsia" w:hAnsi="Century Schoolbook" w:cstheme="majorBidi"/>
          <w:b/>
          <w:bCs/>
          <w:i/>
          <w:color w:val="1F497D" w:themeColor="text2"/>
          <w:spacing w:val="14"/>
        </w:rPr>
      </w:pPr>
      <w:r>
        <w:br w:type="page"/>
      </w:r>
    </w:p>
    <w:p w14:paraId="36E00A24" w14:textId="77777777" w:rsidR="003F4DA2" w:rsidRDefault="003F4DA2" w:rsidP="00A76CF5">
      <w:pPr>
        <w:pStyle w:val="Heading3"/>
        <w:sectPr w:rsidR="003F4DA2" w:rsidSect="006F369F">
          <w:footerReference w:type="default" r:id="rId27"/>
          <w:pgSz w:w="12240" w:h="15840"/>
          <w:pgMar w:top="1440" w:right="1440" w:bottom="1440" w:left="1440" w:header="0" w:footer="288" w:gutter="0"/>
          <w:pgNumType w:start="1"/>
          <w:cols w:space="720"/>
          <w:docGrid w:linePitch="326"/>
        </w:sectPr>
      </w:pPr>
    </w:p>
    <w:p w14:paraId="4A9F0054" w14:textId="5872E07E" w:rsidR="00742FA8" w:rsidRDefault="00D32FAD" w:rsidP="00A76CF5">
      <w:pPr>
        <w:pStyle w:val="Heading3"/>
      </w:pPr>
      <w:r>
        <w:t>Scenario</w:t>
      </w:r>
      <w:r w:rsidR="000F30A1">
        <w:t xml:space="preserve"> 1: </w:t>
      </w:r>
      <w:r w:rsidR="00BB1346">
        <w:t>Establishing Clou</w:t>
      </w:r>
      <w:r w:rsidR="00572F2E">
        <w:t>d</w:t>
      </w:r>
    </w:p>
    <w:p w14:paraId="50DC6C88" w14:textId="4A1B22F5" w:rsidR="00742FA8" w:rsidRDefault="00457306" w:rsidP="00A76CF5">
      <w:pPr>
        <w:pStyle w:val="Heading4"/>
      </w:pPr>
      <w:r>
        <w:rPr>
          <w:noProof/>
        </w:rPr>
        <w:drawing>
          <wp:anchor distT="0" distB="0" distL="114300" distR="114300" simplePos="0" relativeHeight="251634688" behindDoc="0" locked="0" layoutInCell="1" allowOverlap="1" wp14:anchorId="0622EF99" wp14:editId="0C44770A">
            <wp:simplePos x="0" y="0"/>
            <wp:positionH relativeFrom="column">
              <wp:posOffset>2438400</wp:posOffset>
            </wp:positionH>
            <wp:positionV relativeFrom="paragraph">
              <wp:posOffset>34925</wp:posOffset>
            </wp:positionV>
            <wp:extent cx="3502660" cy="932815"/>
            <wp:effectExtent l="0" t="0" r="2540" b="63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169"/>
                    <a:stretch/>
                  </pic:blipFill>
                  <pic:spPr bwMode="auto">
                    <a:xfrm>
                      <a:off x="0" y="0"/>
                      <a:ext cx="3502660" cy="932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2FAD">
        <w:t>Initial Conditions</w:t>
      </w:r>
      <w:r w:rsidR="005A31BA">
        <w:t>:</w:t>
      </w:r>
      <w:r w:rsidR="002C4574" w:rsidRPr="002C4574">
        <w:rPr>
          <w:rFonts w:ascii="Arial" w:eastAsia="Arial" w:hAnsi="Arial" w:cs="Arial"/>
          <w:noProof/>
        </w:rPr>
        <w:t xml:space="preserve"> </w:t>
      </w:r>
    </w:p>
    <w:p w14:paraId="05DA4FBA" w14:textId="6B28DED8" w:rsidR="00527561" w:rsidRDefault="00527561" w:rsidP="00946FD0">
      <w:pPr>
        <w:pStyle w:val="BodyBullet1"/>
      </w:pPr>
      <w:r>
        <w:t xml:space="preserve">Your solution to data center consolidation is an </w:t>
      </w:r>
      <w:r w:rsidR="00C25566">
        <w:t>Infrastructure-as-a-Service (</w:t>
      </w:r>
      <w:r>
        <w:t>IaaS</w:t>
      </w:r>
      <w:r w:rsidR="00C25566">
        <w:t>)</w:t>
      </w:r>
      <w:r>
        <w:t xml:space="preserve"> solution.</w:t>
      </w:r>
    </w:p>
    <w:p w14:paraId="2331563C" w14:textId="6FD8294B" w:rsidR="00527561" w:rsidRDefault="00527561" w:rsidP="00946FD0">
      <w:pPr>
        <w:pStyle w:val="BodyBullet1"/>
      </w:pPr>
      <w:r>
        <w:t xml:space="preserve">Your plan is to complete movement onto the solution in phases. This project is </w:t>
      </w:r>
      <w:r w:rsidR="001A2686">
        <w:t>p</w:t>
      </w:r>
      <w:r>
        <w:t>hase 1 and the goal is to move key support infrastructure and four related mission critical applic</w:t>
      </w:r>
      <w:r w:rsidR="003E4245">
        <w:t>ations into the cloud</w:t>
      </w:r>
      <w:r>
        <w:t>.</w:t>
      </w:r>
    </w:p>
    <w:p w14:paraId="36C5F019" w14:textId="29C35989" w:rsidR="00527561" w:rsidRDefault="00527561" w:rsidP="00946FD0">
      <w:pPr>
        <w:pStyle w:val="BodyBullet1"/>
      </w:pPr>
      <w:r>
        <w:t>Systems development efforts have been fragmented over time and recent centralized documentation efforts have highlighted inconsistent standards and coverage gaps.</w:t>
      </w:r>
    </w:p>
    <w:p w14:paraId="6298C0AD" w14:textId="79847EEA" w:rsidR="00527561" w:rsidRDefault="00527561" w:rsidP="00946FD0">
      <w:pPr>
        <w:pStyle w:val="BodyBullet1"/>
      </w:pPr>
      <w:r>
        <w:t>The targeted systems for migration have differing legacy architectures and current modernization plans are not comprehensive and aligned with current goals.</w:t>
      </w:r>
    </w:p>
    <w:p w14:paraId="1924A5A2" w14:textId="5E7734D7" w:rsidR="00527561" w:rsidRDefault="00527561" w:rsidP="00946FD0">
      <w:pPr>
        <w:pStyle w:val="BodyBullet1"/>
      </w:pPr>
      <w:r>
        <w:t>You are in a small agency (10,000</w:t>
      </w:r>
      <w:r w:rsidR="001A2686">
        <w:t xml:space="preserve"> employees</w:t>
      </w:r>
      <w:r>
        <w:t>).</w:t>
      </w:r>
    </w:p>
    <w:p w14:paraId="5FDB11E7" w14:textId="678B91BA" w:rsidR="00527561" w:rsidRDefault="00527561" w:rsidP="00946FD0">
      <w:pPr>
        <w:pStyle w:val="BodyBullet1"/>
      </w:pPr>
      <w:r>
        <w:t>You have client</w:t>
      </w:r>
      <w:r w:rsidR="000B1AC6">
        <w:t>-</w:t>
      </w:r>
      <w:r>
        <w:t>server based</w:t>
      </w:r>
      <w:r w:rsidR="000B1AC6">
        <w:t>,</w:t>
      </w:r>
      <w:r>
        <w:t xml:space="preserve"> premise solutions for the majority of your mission services.</w:t>
      </w:r>
    </w:p>
    <w:p w14:paraId="42D67CDD" w14:textId="6BF0EC0A" w:rsidR="00742FA8" w:rsidRDefault="00527561" w:rsidP="00946FD0">
      <w:pPr>
        <w:pStyle w:val="BodyBullet1"/>
      </w:pPr>
      <w:r>
        <w:t>Many of your current infrastructure services are virtualized.</w:t>
      </w:r>
    </w:p>
    <w:p w14:paraId="398105D9" w14:textId="3D2B1338" w:rsidR="00742FA8" w:rsidRDefault="005A31BA" w:rsidP="00A76CF5">
      <w:pPr>
        <w:pStyle w:val="Heading4"/>
      </w:pPr>
      <w:r>
        <w:t xml:space="preserve">Additional Assumptions </w:t>
      </w:r>
    </w:p>
    <w:p w14:paraId="25CA39CA" w14:textId="77777777" w:rsidR="00742FA8" w:rsidRDefault="005A31BA" w:rsidP="00946FD0">
      <w:pPr>
        <w:pStyle w:val="BodyBullet1"/>
      </w:pPr>
      <w:r>
        <w:t>Agency staff and support contractors will have application support expertise</w:t>
      </w:r>
      <w:r w:rsidR="000B1AC6">
        <w:t>,</w:t>
      </w:r>
      <w:r>
        <w:t xml:space="preserve"> but limited expertise or bandwidth for executing application upgrade and migration tasks. </w:t>
      </w:r>
    </w:p>
    <w:p w14:paraId="5B3BCE29" w14:textId="556E24B1" w:rsidR="00742FA8" w:rsidRDefault="009922F9" w:rsidP="00946FD0">
      <w:pPr>
        <w:pStyle w:val="BodyBullet1"/>
      </w:pPr>
      <w:r>
        <w:t xml:space="preserve">Single acquisition and any existing support contracts will </w:t>
      </w:r>
      <w:r w:rsidR="00F6170E">
        <w:t>be only minimally</w:t>
      </w:r>
      <w:r w:rsidR="008B4894">
        <w:t xml:space="preserve"> leveraged.</w:t>
      </w:r>
    </w:p>
    <w:p w14:paraId="2060D556" w14:textId="388D1AB2" w:rsidR="00742FA8" w:rsidRDefault="005A31BA" w:rsidP="00A76CF5">
      <w:pPr>
        <w:pStyle w:val="Heading4"/>
      </w:pPr>
      <w:r>
        <w:t xml:space="preserve">Checklist </w:t>
      </w:r>
    </w:p>
    <w:p w14:paraId="4A2FB4F7" w14:textId="114875BD" w:rsidR="00527561" w:rsidRDefault="00527561" w:rsidP="00946FD0">
      <w:pPr>
        <w:pStyle w:val="BodyBullet2"/>
      </w:pPr>
      <w:r>
        <w:t>Inventory and definition of existing infrastructure services and those to be deployed as part of contract.</w:t>
      </w:r>
    </w:p>
    <w:p w14:paraId="233E4146" w14:textId="6B923657" w:rsidR="00527561" w:rsidRDefault="00527561" w:rsidP="00946FD0">
      <w:pPr>
        <w:pStyle w:val="BodyBullet2"/>
      </w:pPr>
      <w:r>
        <w:t>Current enterprise and solution architecture documentation.</w:t>
      </w:r>
    </w:p>
    <w:p w14:paraId="265AD03B" w14:textId="01796F32" w:rsidR="00527561" w:rsidRDefault="00527561" w:rsidP="00946FD0">
      <w:pPr>
        <w:pStyle w:val="BodyBullet2"/>
      </w:pPr>
      <w:r>
        <w:t>Current application definition list.</w:t>
      </w:r>
    </w:p>
    <w:p w14:paraId="04F32AF3" w14:textId="1159F5C3" w:rsidR="00527561" w:rsidRDefault="00527561" w:rsidP="00946FD0">
      <w:pPr>
        <w:pStyle w:val="BodyBullet2"/>
      </w:pPr>
      <w:r>
        <w:t>Application reconciliation plan.</w:t>
      </w:r>
    </w:p>
    <w:p w14:paraId="6BA545EF" w14:textId="35D36270" w:rsidR="00252207" w:rsidRDefault="00252207" w:rsidP="00946FD0">
      <w:pPr>
        <w:pStyle w:val="BodyBullet2"/>
      </w:pPr>
      <w:r>
        <w:t xml:space="preserve">Network architecture and connectivity – </w:t>
      </w:r>
      <w:r w:rsidR="00A93834">
        <w:t>Trusted Internet Connection (</w:t>
      </w:r>
      <w:r>
        <w:t>TIC</w:t>
      </w:r>
      <w:r w:rsidR="00A93834">
        <w:t>)</w:t>
      </w:r>
      <w:r>
        <w:t xml:space="preserve"> compliance is met and required common services for integrations are available within required service levels.</w:t>
      </w:r>
    </w:p>
    <w:p w14:paraId="7FC352A3" w14:textId="0918A46E" w:rsidR="00527561" w:rsidRDefault="00527561" w:rsidP="00946FD0">
      <w:pPr>
        <w:pStyle w:val="BodyBullet2"/>
      </w:pPr>
      <w:r>
        <w:t>Organizational knowledge development plan.</w:t>
      </w:r>
    </w:p>
    <w:p w14:paraId="0A350E4F" w14:textId="4DECF4F4" w:rsidR="00742FA8" w:rsidRDefault="00527561" w:rsidP="00946FD0">
      <w:pPr>
        <w:pStyle w:val="BodyBullet2"/>
      </w:pPr>
      <w:r>
        <w:t>Documented support plan during migration.</w:t>
      </w:r>
    </w:p>
    <w:p w14:paraId="30728FD8" w14:textId="70626C41" w:rsidR="00742FA8" w:rsidRDefault="005A31BA" w:rsidP="00946FD0">
      <w:pPr>
        <w:pStyle w:val="BodyBullet2"/>
      </w:pPr>
      <w:r>
        <w:t xml:space="preserve">Thorough market research for </w:t>
      </w:r>
      <w:r w:rsidR="00B70FED">
        <w:t>s</w:t>
      </w:r>
      <w:r w:rsidR="00A93834">
        <w:t>ystem</w:t>
      </w:r>
      <w:r w:rsidR="00B70FED">
        <w:t xml:space="preserve"> integrators (SI)</w:t>
      </w:r>
      <w:r>
        <w:t>.</w:t>
      </w:r>
    </w:p>
    <w:p w14:paraId="36050C37" w14:textId="77777777" w:rsidR="00742FA8" w:rsidRDefault="005A31BA" w:rsidP="00A76CF5">
      <w:pPr>
        <w:pStyle w:val="Heading4"/>
      </w:pPr>
      <w:r>
        <w:t>Key Questions</w:t>
      </w:r>
    </w:p>
    <w:p w14:paraId="4DDB4B92" w14:textId="625F2DD6" w:rsidR="00E00664" w:rsidRPr="00D32FAD" w:rsidRDefault="00E00664" w:rsidP="00946FD0">
      <w:pPr>
        <w:pStyle w:val="BodyBullet1"/>
      </w:pPr>
      <w:r w:rsidRPr="00D32FAD">
        <w:t>Will your current service level definitions accommodate this delivery plan?</w:t>
      </w:r>
    </w:p>
    <w:p w14:paraId="70EEEC9D" w14:textId="786E60F0" w:rsidR="00E00664" w:rsidRPr="00D32FAD" w:rsidRDefault="00E00664" w:rsidP="00946FD0">
      <w:pPr>
        <w:pStyle w:val="BodyBullet1"/>
      </w:pPr>
      <w:r w:rsidRPr="00D32FAD">
        <w:t>Is your security breach and notification plan thorough, compliant and resilient?</w:t>
      </w:r>
    </w:p>
    <w:p w14:paraId="18F8354E" w14:textId="3D89D8D0" w:rsidR="00E00664" w:rsidRPr="00D32FAD" w:rsidRDefault="00E00664" w:rsidP="00946FD0">
      <w:pPr>
        <w:pStyle w:val="BodyBullet1"/>
      </w:pPr>
      <w:r w:rsidRPr="00D32FAD">
        <w:t>Will you need a headcount surge plan to support cutover periods during migration?</w:t>
      </w:r>
    </w:p>
    <w:p w14:paraId="0521A4F7" w14:textId="47507CD8" w:rsidR="00E00664" w:rsidRPr="00D32FAD" w:rsidRDefault="00E00664" w:rsidP="00946FD0">
      <w:pPr>
        <w:pStyle w:val="BodyBullet1"/>
      </w:pPr>
      <w:r w:rsidRPr="00D32FAD">
        <w:t xml:space="preserve">Are you planning for changes to your </w:t>
      </w:r>
      <w:r w:rsidR="00A93834" w:rsidRPr="00D32FAD">
        <w:t>disaster recovery (</w:t>
      </w:r>
      <w:r w:rsidRPr="00D32FAD">
        <w:t>DR</w:t>
      </w:r>
      <w:r w:rsidR="00A93834" w:rsidRPr="00D32FAD">
        <w:t>)</w:t>
      </w:r>
      <w:r w:rsidRPr="00D32FAD">
        <w:t xml:space="preserve"> and </w:t>
      </w:r>
      <w:r w:rsidR="00A93834" w:rsidRPr="00D32FAD">
        <w:t>continuity of operations (</w:t>
      </w:r>
      <w:r w:rsidRPr="00D32FAD">
        <w:t>COOP</w:t>
      </w:r>
      <w:r w:rsidR="00A93834" w:rsidRPr="00D32FAD">
        <w:t>)</w:t>
      </w:r>
      <w:r w:rsidRPr="00D32FAD">
        <w:t xml:space="preserve"> plans?</w:t>
      </w:r>
    </w:p>
    <w:p w14:paraId="76C250F9" w14:textId="41EF1A0E" w:rsidR="00E00664" w:rsidRPr="00D32FAD" w:rsidRDefault="00E00664" w:rsidP="00946FD0">
      <w:pPr>
        <w:pStyle w:val="BodyBullet1"/>
      </w:pPr>
      <w:r w:rsidRPr="00D32FAD">
        <w:t>Are your administration rights, delegation, and credential issuing plans sound?</w:t>
      </w:r>
    </w:p>
    <w:p w14:paraId="2225A1F3" w14:textId="3D932059" w:rsidR="00BC21A3" w:rsidRPr="00D32FAD" w:rsidRDefault="00BC21A3" w:rsidP="00946FD0">
      <w:pPr>
        <w:pStyle w:val="BodyBullet1"/>
      </w:pPr>
      <w:r w:rsidRPr="00D32FAD">
        <w:t xml:space="preserve">Do you have a full understanding of affected software licensing that will move to the cloud? </w:t>
      </w:r>
    </w:p>
    <w:p w14:paraId="17A957F8" w14:textId="3D62211E" w:rsidR="00E00664" w:rsidRPr="00D32FAD" w:rsidRDefault="00E00664" w:rsidP="00946FD0">
      <w:pPr>
        <w:pStyle w:val="BodyBullet1"/>
      </w:pPr>
      <w:r w:rsidRPr="00D32FAD">
        <w:t xml:space="preserve">What mission critical services, if any, will you continue to deliver </w:t>
      </w:r>
      <w:r w:rsidR="00AA4A46" w:rsidRPr="00D32FAD">
        <w:t>on-premise</w:t>
      </w:r>
      <w:r w:rsidRPr="00D32FAD">
        <w:t xml:space="preserve">? Are there services you plan to source differently than </w:t>
      </w:r>
      <w:r w:rsidR="00AA4A46" w:rsidRPr="00D32FAD">
        <w:t>on-premise</w:t>
      </w:r>
      <w:r w:rsidRPr="00D32FAD">
        <w:t xml:space="preserve"> or from the IaaS CSP?</w:t>
      </w:r>
    </w:p>
    <w:p w14:paraId="56A09424" w14:textId="5694BF7F" w:rsidR="00E00664" w:rsidRPr="00D32FAD" w:rsidRDefault="00E00664" w:rsidP="00946FD0">
      <w:pPr>
        <w:pStyle w:val="BodyBullet1"/>
      </w:pPr>
      <w:r w:rsidRPr="00D32FAD">
        <w:t>Have you considered differences in communications with users under the new service delivery plan?</w:t>
      </w:r>
    </w:p>
    <w:p w14:paraId="69601B1E" w14:textId="23834654" w:rsidR="00E00664" w:rsidRPr="00D32FAD" w:rsidRDefault="00E00664" w:rsidP="00946FD0">
      <w:pPr>
        <w:pStyle w:val="BodyBullet1"/>
      </w:pPr>
      <w:r w:rsidRPr="00D32FAD">
        <w:t>Do you have a requirements definition that clearly defines duties of the provider relative to duties of the government?</w:t>
      </w:r>
    </w:p>
    <w:p w14:paraId="711B1800" w14:textId="3029EDB0" w:rsidR="00742FA8" w:rsidRPr="00D32FAD" w:rsidRDefault="00E00664" w:rsidP="00946FD0">
      <w:pPr>
        <w:pStyle w:val="BodyBullet1"/>
      </w:pPr>
      <w:r w:rsidRPr="00D32FAD">
        <w:t>Are the stakeholders in all key areas at the same industry knowledge level for cloud?</w:t>
      </w:r>
      <w:r w:rsidR="005A31BA" w:rsidRPr="00D32FAD">
        <w:t xml:space="preserve"> </w:t>
      </w:r>
    </w:p>
    <w:p w14:paraId="3774A16D" w14:textId="77777777" w:rsidR="00742FA8" w:rsidRDefault="005A31BA" w:rsidP="00A76CF5">
      <w:pPr>
        <w:pStyle w:val="Heading4"/>
      </w:pPr>
      <w:r>
        <w:t>Discussion</w:t>
      </w:r>
    </w:p>
    <w:p w14:paraId="10619BF5" w14:textId="77777777" w:rsidR="00742FA8" w:rsidRPr="00F3098F" w:rsidRDefault="005A31BA" w:rsidP="00A76CF5">
      <w:pPr>
        <w:pStyle w:val="Heading5"/>
      </w:pPr>
      <w:r w:rsidRPr="00F3098F">
        <w:t>Inventory and Assessment</w:t>
      </w:r>
    </w:p>
    <w:p w14:paraId="0BA8B2D1" w14:textId="0B6F5AA3" w:rsidR="00742FA8" w:rsidRDefault="005A31BA" w:rsidP="00EB05DA">
      <w:r>
        <w:t>An accurate and complete inventory and assessment of all IT system assets is important for IT management generally</w:t>
      </w:r>
      <w:r w:rsidR="000B1AC6">
        <w:t>,</w:t>
      </w:r>
      <w:r>
        <w:t xml:space="preserve"> and critical for successfully migrating those assets to the cloud.</w:t>
      </w:r>
      <w:r w:rsidR="00534845">
        <w:t xml:space="preserve"> </w:t>
      </w:r>
      <w:r>
        <w:t>Since a big-bang transition involving all systems at once is seldom financially feasible and risk warranted, having fully documented current state information, along with change management processes to keep them maintained, will be key baseline information to include in future acquisitions for later migration phases.</w:t>
      </w:r>
    </w:p>
    <w:p w14:paraId="61E0A0DD" w14:textId="2064CAB9" w:rsidR="00742FA8" w:rsidRDefault="005A31BA" w:rsidP="00EB05DA">
      <w:r>
        <w:t>There are three main elements within an inventory and assessment phase that will provide a foundation and roadmap for modernizing the IT enterprise.</w:t>
      </w:r>
      <w:r w:rsidR="00534845">
        <w:t xml:space="preserve"> </w:t>
      </w:r>
      <w:r>
        <w:t xml:space="preserve">The </w:t>
      </w:r>
      <w:r w:rsidR="00DF0EB2">
        <w:t>first is t</w:t>
      </w:r>
      <w:r>
        <w:t xml:space="preserve">he inventory, </w:t>
      </w:r>
      <w:r w:rsidR="00DF0EB2">
        <w:t>gathered from</w:t>
      </w:r>
      <w:r>
        <w:t xml:space="preserve"> both automated scans and stakeholders, will document all IT assets and provide both physical organization and a logical organization to those assets such as by application system, environment (dev, production, etc.), circuit, physical location, and organizational control. The next element is the application rationalization which documents business functions and system integrations</w:t>
      </w:r>
      <w:r w:rsidR="00DF0EB2">
        <w:t xml:space="preserve">. The </w:t>
      </w:r>
      <w:r>
        <w:t xml:space="preserve">outputs </w:t>
      </w:r>
      <w:r w:rsidR="00DF0EB2">
        <w:t>are</w:t>
      </w:r>
      <w:r>
        <w:t xml:space="preserve"> specific modernization plans and recommendations including eliminating duplicative systems by merging application functions, terminating legacy applications with minimal business value, and complete application re-engineering when warranted.</w:t>
      </w:r>
      <w:r w:rsidR="00534845">
        <w:t xml:space="preserve"> </w:t>
      </w:r>
      <w:r>
        <w:t>The third element is the actual migration planning which is often constrained by budgetary considerations and necessarily takes into account risk assessments for prioritization.</w:t>
      </w:r>
      <w:r w:rsidR="00534845">
        <w:t xml:space="preserve"> </w:t>
      </w:r>
      <w:r>
        <w:t xml:space="preserve">GSA developed at the </w:t>
      </w:r>
      <w:r w:rsidR="00AF063B">
        <w:t>request</w:t>
      </w:r>
      <w:r>
        <w:t xml:space="preserve"> of OMB and in collaboration with industry partners a set of </w:t>
      </w:r>
      <w:r w:rsidR="009A13F4">
        <w:t>statement of objectives (</w:t>
      </w:r>
      <w:r>
        <w:t>SOO</w:t>
      </w:r>
      <w:r w:rsidR="009A13F4">
        <w:t>)</w:t>
      </w:r>
      <w:r>
        <w:t xml:space="preserve"> templates for agency use in acquiring cloud migration services</w:t>
      </w:r>
      <w:r w:rsidR="00DF0EB2">
        <w:t>.</w:t>
      </w:r>
      <w:r>
        <w:rPr>
          <w:vertAlign w:val="superscript"/>
        </w:rPr>
        <w:footnoteReference w:id="3"/>
      </w:r>
    </w:p>
    <w:p w14:paraId="01882D2F" w14:textId="0532E0FE" w:rsidR="00742FA8" w:rsidRDefault="005A31BA">
      <w:r>
        <w:t>Goals for the inventory and assessment work</w:t>
      </w:r>
      <w:r w:rsidR="00833243">
        <w:t xml:space="preserve">, and therefore </w:t>
      </w:r>
      <w:r w:rsidR="00347AA8">
        <w:t>contractor deliverables</w:t>
      </w:r>
      <w:r w:rsidR="003E5C53">
        <w:t xml:space="preserve"> to drive milestones,</w:t>
      </w:r>
      <w:r>
        <w:t xml:space="preserve"> will include 1) a complete inventory and assessment to establish a baseline for later migration implementation phases and 2) producing a rationalization and modernization plan for the targeted support infrastructure and four mission critical applications. </w:t>
      </w:r>
      <w:r w:rsidR="00B548BE" w:rsidRPr="001D7986">
        <w:t xml:space="preserve">Although </w:t>
      </w:r>
      <w:r w:rsidR="00D63E6F">
        <w:t xml:space="preserve">a variety of </w:t>
      </w:r>
      <w:r w:rsidR="00C0593D">
        <w:t xml:space="preserve">existing </w:t>
      </w:r>
      <w:r w:rsidR="00D63E6F">
        <w:t>agency situations</w:t>
      </w:r>
      <w:r w:rsidR="00C0593D">
        <w:t xml:space="preserve"> and goal states</w:t>
      </w:r>
      <w:r w:rsidR="00D63E6F">
        <w:t xml:space="preserve"> </w:t>
      </w:r>
      <w:r w:rsidR="00FE2FD8">
        <w:t>may exist</w:t>
      </w:r>
      <w:r w:rsidR="00B548BE" w:rsidRPr="001D7986">
        <w:t xml:space="preserve"> </w:t>
      </w:r>
      <w:r w:rsidR="00FE2FD8">
        <w:t>for</w:t>
      </w:r>
      <w:r w:rsidR="00FE2FD8" w:rsidRPr="001D7986">
        <w:t xml:space="preserve"> </w:t>
      </w:r>
      <w:r w:rsidR="00B548BE" w:rsidRPr="001D7986">
        <w:t>this type of work, this aspect of the project is typically best serviced with firm fixed price (FFP) type contracts.</w:t>
      </w:r>
    </w:p>
    <w:p w14:paraId="603A10F4" w14:textId="77777777" w:rsidR="00742FA8" w:rsidRPr="00F3098F" w:rsidRDefault="005A31BA" w:rsidP="00A76CF5">
      <w:pPr>
        <w:pStyle w:val="Heading5"/>
      </w:pPr>
      <w:r w:rsidRPr="00F3098F">
        <w:t>Application Preparation</w:t>
      </w:r>
    </w:p>
    <w:p w14:paraId="2EA95947" w14:textId="33F27E93" w:rsidR="00742FA8" w:rsidRDefault="005A31BA">
      <w:r>
        <w:t>The existing agency experience with virtualization for its current server assets will be a benefit in capacity planning and right-sizing</w:t>
      </w:r>
      <w:r w:rsidR="009A13F4">
        <w:t xml:space="preserve"> virtual machine (</w:t>
      </w:r>
      <w:r>
        <w:t>VM</w:t>
      </w:r>
      <w:r w:rsidR="009A13F4">
        <w:t>)</w:t>
      </w:r>
      <w:r>
        <w:t xml:space="preserve"> resources in the target environment.</w:t>
      </w:r>
      <w:r w:rsidR="00534845">
        <w:t xml:space="preserve"> </w:t>
      </w:r>
      <w:r w:rsidR="005C3A13">
        <w:t>Providing these</w:t>
      </w:r>
      <w:r w:rsidR="00AA33A8">
        <w:t xml:space="preserve"> as-is details</w:t>
      </w:r>
      <w:r w:rsidR="00B806C6">
        <w:t xml:space="preserve"> in</w:t>
      </w:r>
      <w:r>
        <w:t xml:space="preserve"> the </w:t>
      </w:r>
      <w:r w:rsidR="00B806C6">
        <w:t xml:space="preserve">solicitation will enhance contractor understanding of the </w:t>
      </w:r>
      <w:r w:rsidR="00AA33A8">
        <w:t>overall effort</w:t>
      </w:r>
      <w:r w:rsidR="00705CEE">
        <w:t>,</w:t>
      </w:r>
      <w:r w:rsidR="00AA33A8">
        <w:t xml:space="preserve"> but </w:t>
      </w:r>
      <w:r w:rsidR="00C80552">
        <w:t xml:space="preserve">will not </w:t>
      </w:r>
      <w:r w:rsidR="00AA33A8">
        <w:t>be as informative in developing levels of effort for application preparation as the outputs from their inventory and assessment phase.</w:t>
      </w:r>
      <w:r w:rsidR="00C80552">
        <w:t xml:space="preserve"> </w:t>
      </w:r>
      <w:r w:rsidR="00AA33A8">
        <w:t>T</w:t>
      </w:r>
      <w:r>
        <w:t xml:space="preserve">he </w:t>
      </w:r>
      <w:r w:rsidR="00AA33A8">
        <w:t xml:space="preserve">scenario indicates a </w:t>
      </w:r>
      <w:r>
        <w:t xml:space="preserve">prevalence of client-server architecture </w:t>
      </w:r>
      <w:r w:rsidR="00E13C83">
        <w:t xml:space="preserve">that </w:t>
      </w:r>
      <w:r>
        <w:t>generally does not indicate a fully service oriented</w:t>
      </w:r>
      <w:r w:rsidR="00275967">
        <w:t>,</w:t>
      </w:r>
      <w:r>
        <w:t xml:space="preserve"> cloud-ready architecture and the agency can reasonably expect various levels of application refactoring to be required in the move to the cloud.</w:t>
      </w:r>
      <w:r w:rsidR="00534845">
        <w:t xml:space="preserve"> </w:t>
      </w:r>
      <w:r>
        <w:t>The detailed application assessment process presents the opportunity to make appropriate investments in modernization such as to enhance business value, improve security to latest standards, rationalize and consolidate data stores, and reduce complexity while migrating to a scalable platform.</w:t>
      </w:r>
    </w:p>
    <w:p w14:paraId="31D2C8AB" w14:textId="52BF65D8" w:rsidR="00742FA8" w:rsidRDefault="006B259C">
      <w:r>
        <w:t xml:space="preserve">High level goals for the to-be state at the end of the acquisition for the targeted support infrastructure and the four </w:t>
      </w:r>
      <w:r w:rsidR="00B544D0">
        <w:t>missions</w:t>
      </w:r>
      <w:r>
        <w:t xml:space="preserve"> related applications will be necessary to guide the contractor.</w:t>
      </w:r>
      <w:r w:rsidR="00534845">
        <w:t xml:space="preserve"> </w:t>
      </w:r>
      <w:r w:rsidR="005A31BA">
        <w:t>To the extent that agency enterprise architecture standards are already developed, these need to be part of the referenced standards in the acquisition.</w:t>
      </w:r>
      <w:r w:rsidR="00534845">
        <w:t xml:space="preserve"> </w:t>
      </w:r>
      <w:r w:rsidR="005A31BA">
        <w:t xml:space="preserve">Given the minimal cloud adoption of the agency, these standards likely </w:t>
      </w:r>
      <w:r w:rsidR="00705CEE">
        <w:t>do</w:t>
      </w:r>
      <w:r w:rsidR="000376FA">
        <w:t xml:space="preserve"> not</w:t>
      </w:r>
      <w:r w:rsidR="005A31BA">
        <w:t xml:space="preserve"> reflect your </w:t>
      </w:r>
      <w:r w:rsidR="00705CEE">
        <w:t xml:space="preserve">current </w:t>
      </w:r>
      <w:r w:rsidR="005A31BA">
        <w:t>future state</w:t>
      </w:r>
      <w:r w:rsidR="00705CEE">
        <w:t>.</w:t>
      </w:r>
      <w:r w:rsidR="005A31BA">
        <w:t xml:space="preserve"> </w:t>
      </w:r>
      <w:r w:rsidR="00705CEE">
        <w:t>At the very</w:t>
      </w:r>
      <w:r w:rsidR="005A31BA">
        <w:t xml:space="preserve"> least </w:t>
      </w:r>
      <w:r w:rsidR="000B4966">
        <w:t xml:space="preserve">the standards </w:t>
      </w:r>
      <w:r w:rsidR="005A31BA">
        <w:t>will be lacking considerable details that will be developed during this project.</w:t>
      </w:r>
      <w:r w:rsidR="00534845">
        <w:t xml:space="preserve"> </w:t>
      </w:r>
      <w:r w:rsidR="005A31BA">
        <w:t>This type of documentation and standards maintenance should be built into a strong governance and change management process at the agency.</w:t>
      </w:r>
      <w:r w:rsidR="00534845">
        <w:t xml:space="preserve"> </w:t>
      </w:r>
      <w:r w:rsidR="005A31BA">
        <w:t xml:space="preserve">Whether these structures and guidance </w:t>
      </w:r>
      <w:r w:rsidR="000B4966">
        <w:t>are</w:t>
      </w:r>
      <w:r w:rsidR="005A31BA">
        <w:t xml:space="preserve"> complete at the outset, guidelines need to be provided in the acquisition to ensure agency IT service agility and responsiveness are achieved and enhanced.</w:t>
      </w:r>
      <w:r w:rsidR="00534845">
        <w:t xml:space="preserve"> </w:t>
      </w:r>
    </w:p>
    <w:p w14:paraId="7E6913B8" w14:textId="250B6370" w:rsidR="00742FA8" w:rsidRDefault="005A31BA">
      <w:r>
        <w:t xml:space="preserve">The challenge in this scenario is that at the time of acquisition, without reliable and comprehensive inventory and application dependency information, bidding contractors will have a difficult time making accurate estimates for the scope of application modernization efforts to undertake. </w:t>
      </w:r>
      <w:r w:rsidR="00903FF2">
        <w:t xml:space="preserve">Contracting </w:t>
      </w:r>
      <w:r>
        <w:t>approach</w:t>
      </w:r>
      <w:r w:rsidR="00903FF2">
        <w:t>es</w:t>
      </w:r>
      <w:r>
        <w:t xml:space="preserve"> for managing this work include</w:t>
      </w:r>
      <w:r w:rsidR="00E43741">
        <w:t>s</w:t>
      </w:r>
      <w:r>
        <w:t xml:space="preserve"> using </w:t>
      </w:r>
      <w:r w:rsidR="00430A13">
        <w:t>T&amp;M</w:t>
      </w:r>
      <w:r>
        <w:t xml:space="preserve"> </w:t>
      </w:r>
      <w:r w:rsidR="008A7980">
        <w:t>contract line item numbers (</w:t>
      </w:r>
      <w:r>
        <w:t>CLINs</w:t>
      </w:r>
      <w:r w:rsidR="008A7980">
        <w:t>)</w:t>
      </w:r>
      <w:r>
        <w:t xml:space="preserve"> for this part of the work and </w:t>
      </w:r>
      <w:r w:rsidR="00903FF2">
        <w:t xml:space="preserve">further </w:t>
      </w:r>
      <w:r>
        <w:t xml:space="preserve">requesting multiple options with trade-offs be produced in the plans prepared for the rationalization and modernization effort. Alternatively, one or more optional CLINs could be used </w:t>
      </w:r>
      <w:r w:rsidR="000B4966">
        <w:t xml:space="preserve">to </w:t>
      </w:r>
      <w:r>
        <w:t xml:space="preserve">selectively </w:t>
      </w:r>
      <w:r w:rsidR="000B4966">
        <w:t xml:space="preserve">undertake </w:t>
      </w:r>
      <w:r>
        <w:t>recommendations arising from the assessment</w:t>
      </w:r>
      <w:r w:rsidR="003E4245">
        <w:t xml:space="preserve"> activities completed earlier</w:t>
      </w:r>
      <w:r>
        <w:t>.</w:t>
      </w:r>
    </w:p>
    <w:p w14:paraId="2026849D" w14:textId="77777777" w:rsidR="00742FA8" w:rsidRPr="00F3098F" w:rsidRDefault="005A31BA" w:rsidP="00A76CF5">
      <w:pPr>
        <w:pStyle w:val="Heading5"/>
      </w:pPr>
      <w:r w:rsidRPr="00F3098F">
        <w:t>Migration Support</w:t>
      </w:r>
    </w:p>
    <w:p w14:paraId="00BA3DCD" w14:textId="40F27603" w:rsidR="00742FA8" w:rsidRDefault="005A31BA">
      <w:r>
        <w:t xml:space="preserve">An effort of this scope and criticality </w:t>
      </w:r>
      <w:r w:rsidR="00E43741">
        <w:t xml:space="preserve">to agency mission </w:t>
      </w:r>
      <w:r>
        <w:t>will require significant resources to plan and execute the migration of these related systems. Project management and stakeholder coordination support in addition to the technical expertise for planning the cloud environment, configuration, testing, building and scheduling the cutover plan, to name a few, are all activities to be performed.</w:t>
      </w:r>
      <w:r w:rsidR="00534845">
        <w:t xml:space="preserve"> </w:t>
      </w:r>
      <w:r w:rsidR="000B4966">
        <w:t>Pro</w:t>
      </w:r>
      <w:r w:rsidR="000376FA">
        <w:t>g</w:t>
      </w:r>
      <w:r w:rsidR="000B4966">
        <w:t>ram Managers</w:t>
      </w:r>
      <w:r w:rsidR="000376FA">
        <w:t xml:space="preserve"> </w:t>
      </w:r>
      <w:r>
        <w:t>should expect resources to ramp up and down for this part of the work since minimal resources can be effectively deployed until the inventory &amp; assessment is complete.</w:t>
      </w:r>
      <w:r w:rsidR="006B04BF">
        <w:t xml:space="preserve"> </w:t>
      </w:r>
      <w:r w:rsidR="00F94599">
        <w:t xml:space="preserve">Further, scheduling flexibility for various overall project milestones </w:t>
      </w:r>
      <w:r w:rsidR="00C76D6F">
        <w:t>can</w:t>
      </w:r>
      <w:r w:rsidR="00F94599">
        <w:t xml:space="preserve"> be anticipated since key decisions on technical approaches will be based on the outputs of the assessment, planning, and application development work </w:t>
      </w:r>
      <w:r w:rsidR="00DC6FF9">
        <w:t>completed earlier</w:t>
      </w:r>
      <w:r w:rsidR="00E171A9">
        <w:t xml:space="preserve"> within the overall </w:t>
      </w:r>
      <w:r w:rsidR="004852DC">
        <w:t xml:space="preserve">scope of the </w:t>
      </w:r>
      <w:r w:rsidR="00E171A9">
        <w:t>acquisition</w:t>
      </w:r>
      <w:r w:rsidR="00F94599">
        <w:t>.</w:t>
      </w:r>
    </w:p>
    <w:p w14:paraId="03E18EE2" w14:textId="3A231913" w:rsidR="00742FA8" w:rsidRDefault="005A31BA">
      <w:r>
        <w:t xml:space="preserve">Network architecture and agency circuit capacity for the network traffic between agency premises and the CSP will be a key planning element. Patterns vary widely for network traffic and utilization by applications based on the variety of types, number, and logical location (public, internal agency, trusted systems, etc.) of users and systems connecting </w:t>
      </w:r>
      <w:r w:rsidR="00CA29DC">
        <w:t xml:space="preserve">as well as </w:t>
      </w:r>
      <w:r>
        <w:t>the amount of data transferred.</w:t>
      </w:r>
      <w:r w:rsidR="00534845">
        <w:t xml:space="preserve"> </w:t>
      </w:r>
      <w:r w:rsidR="000B4966">
        <w:t xml:space="preserve">The </w:t>
      </w:r>
      <w:r>
        <w:t>inventory and assessment phase will consider these issues and could even indicate a scope change to the targeted migrated systems based on this information.</w:t>
      </w:r>
      <w:r w:rsidR="00534845">
        <w:t xml:space="preserve"> </w:t>
      </w:r>
      <w:r>
        <w:t xml:space="preserve">Prior market research should raise the question and may well inform </w:t>
      </w:r>
      <w:r w:rsidR="000B4966">
        <w:t xml:space="preserve">whether </w:t>
      </w:r>
      <w:r>
        <w:t xml:space="preserve">a dedicated circuit to the CSP is warranted as part of the overall project. Anticipate coordinating appropriate changes to </w:t>
      </w:r>
      <w:r w:rsidR="000B4966">
        <w:t xml:space="preserve">the </w:t>
      </w:r>
      <w:r>
        <w:t>existing agency telecom and circuit contract as the approach is determined.</w:t>
      </w:r>
      <w:r w:rsidR="00534845">
        <w:t xml:space="preserve"> </w:t>
      </w:r>
      <w:r w:rsidR="006B259C">
        <w:t xml:space="preserve">At a minimum, plan for </w:t>
      </w:r>
      <w:r w:rsidR="000B4966">
        <w:t xml:space="preserve">the </w:t>
      </w:r>
      <w:r w:rsidR="006B259C">
        <w:t>acquisition to specify development of networking architectures to ensure sufficient bandwidth and a TIC-compliant solution</w:t>
      </w:r>
      <w:r w:rsidR="005F35D8">
        <w:t>.</w:t>
      </w:r>
      <w:r w:rsidR="006B259C">
        <w:rPr>
          <w:vertAlign w:val="superscript"/>
        </w:rPr>
        <w:footnoteReference w:id="4"/>
      </w:r>
      <w:r w:rsidR="00534845">
        <w:t xml:space="preserve"> </w:t>
      </w:r>
      <w:r>
        <w:t>It has been noted there can be challenges with some cloud-exclusive type architectures in meeting monitoring requirements contained in TIC, but it does remain a Federal requirement.</w:t>
      </w:r>
      <w:r w:rsidR="00534845">
        <w:t xml:space="preserve"> </w:t>
      </w:r>
    </w:p>
    <w:p w14:paraId="7F332A6C" w14:textId="565C4C37" w:rsidR="00742FA8" w:rsidRDefault="005A31BA">
      <w:r>
        <w:t xml:space="preserve">To the extent possible within this project and acquisition, executing a phased migration with, for example, the key support infrastructure moving first, likely will lower risk </w:t>
      </w:r>
      <w:r w:rsidR="00BD2200">
        <w:t xml:space="preserve">more </w:t>
      </w:r>
      <w:r>
        <w:t>than performing a complete cutover of all targeted applications at once.</w:t>
      </w:r>
      <w:r w:rsidR="00534845">
        <w:t xml:space="preserve"> </w:t>
      </w:r>
      <w:r>
        <w:t>Subsequently, migration of four targeted applications individually may limit the scope of potential related mission delivery problems.</w:t>
      </w:r>
      <w:r w:rsidR="00534845">
        <w:t xml:space="preserve"> </w:t>
      </w:r>
      <w:r>
        <w:t>Since moving a significant portion of IT services is contemplated in this project, a phased approach to effectively test networking, latency, and overall service performance will be useful in potentially limiting the scope of affected systems with each change.</w:t>
      </w:r>
      <w:r w:rsidR="00534845">
        <w:t xml:space="preserve"> </w:t>
      </w:r>
      <w:r>
        <w:t>As</w:t>
      </w:r>
      <w:r w:rsidR="001B4678">
        <w:t xml:space="preserve"> planning to move</w:t>
      </w:r>
      <w:r>
        <w:t xml:space="preserve"> key support infrastructure </w:t>
      </w:r>
      <w:r w:rsidR="001B4678">
        <w:t>continues, considering the</w:t>
      </w:r>
      <w:r>
        <w:t xml:space="preserve"> opportunity for moving it first or early can shed light on undocumented dependencies within the systems and applications that are not in scope for migration in this phase. Similarly, moving individual components within an application in stages also can mitigate cutover risk in the cases when it is architecturally feasible to do so. Effective testing of production systems in new environments can be challenging and given the mission critical nature of the targeted applications these strategies may prove effective.</w:t>
      </w:r>
    </w:p>
    <w:p w14:paraId="68EF7105" w14:textId="77777777" w:rsidR="00742FA8" w:rsidRPr="00F3098F" w:rsidRDefault="005A31BA" w:rsidP="00A76CF5">
      <w:pPr>
        <w:pStyle w:val="Heading5"/>
      </w:pPr>
      <w:r w:rsidRPr="00F3098F">
        <w:t>CSP</w:t>
      </w:r>
    </w:p>
    <w:p w14:paraId="44CFAA1A" w14:textId="2DE4AC1A" w:rsidR="00742FA8" w:rsidRDefault="005A31BA">
      <w:r>
        <w:t xml:space="preserve">CSP specific requirements won’t </w:t>
      </w:r>
      <w:r w:rsidR="00532539">
        <w:t>likely</w:t>
      </w:r>
      <w:r>
        <w:t xml:space="preserve"> be numerous in a scenario where there is li</w:t>
      </w:r>
      <w:r w:rsidR="00C53939">
        <w:t>ttle agency cloud footprint and</w:t>
      </w:r>
      <w:r w:rsidR="00AF063B">
        <w:t xml:space="preserve"> is </w:t>
      </w:r>
      <w:r>
        <w:t xml:space="preserve">the first significant foray </w:t>
      </w:r>
      <w:r w:rsidR="00AF063B">
        <w:t xml:space="preserve">for the agency </w:t>
      </w:r>
      <w:r>
        <w:t>into cloud.</w:t>
      </w:r>
      <w:r w:rsidR="00534845">
        <w:t xml:space="preserve"> </w:t>
      </w:r>
      <w:r>
        <w:t>There will of course be DR and COOP requirements but these are better treated at the application level versus viewing the CSP as a traditional datacenter and layering on outmoded legacy backup requirements.</w:t>
      </w:r>
      <w:r w:rsidR="00534845">
        <w:t xml:space="preserve"> </w:t>
      </w:r>
      <w:r>
        <w:t>The goal is a transition to the cloud and an associated operational transformation to an efficient service oriented posture.</w:t>
      </w:r>
      <w:r w:rsidR="00534845">
        <w:t xml:space="preserve"> </w:t>
      </w:r>
      <w:r>
        <w:t>Geographic diversity is one such requirement to include but is easily met by most CSP and can be programmatically achieved by changing one parameter in the API call to instantiate the resource.</w:t>
      </w:r>
      <w:r w:rsidR="00534845">
        <w:t xml:space="preserve"> </w:t>
      </w:r>
      <w:r>
        <w:t xml:space="preserve">Granted, not all (and perhaps even few) typical Federal agency applications will ever be re-engineered into fully next generation cloud-designed applications that are stateless works of resiliency but it still makes sense to position the organization to leverage this potential where appropriate. </w:t>
      </w:r>
    </w:p>
    <w:p w14:paraId="6DBD86C0" w14:textId="5281F0A6" w:rsidR="00742FA8" w:rsidRDefault="005A31BA">
      <w:r>
        <w:t xml:space="preserve">This scenario contemplates </w:t>
      </w:r>
      <w:r w:rsidR="00BF5353">
        <w:t xml:space="preserve">migration of </w:t>
      </w:r>
      <w:r w:rsidR="00532539">
        <w:t>four</w:t>
      </w:r>
      <w:r>
        <w:t xml:space="preserve"> mission critical applications.</w:t>
      </w:r>
      <w:r w:rsidR="00534845">
        <w:t xml:space="preserve"> </w:t>
      </w:r>
      <w:r>
        <w:t>Of course</w:t>
      </w:r>
      <w:r w:rsidR="00BF5353">
        <w:t>,</w:t>
      </w:r>
      <w:r>
        <w:t xml:space="preserve"> there needs to be application availability SLA’s but these will rest with the contractor </w:t>
      </w:r>
      <w:r w:rsidR="00BF5353">
        <w:t xml:space="preserve">layering managed services above the CSP and </w:t>
      </w:r>
      <w:r>
        <w:t xml:space="preserve">not </w:t>
      </w:r>
      <w:r w:rsidR="00BF5353">
        <w:t xml:space="preserve">directly with </w:t>
      </w:r>
      <w:r>
        <w:t>the CSP hosting the resources.</w:t>
      </w:r>
      <w:r w:rsidR="00534845">
        <w:t xml:space="preserve"> </w:t>
      </w:r>
      <w:r>
        <w:t xml:space="preserve">The implementation path the contractor </w:t>
      </w:r>
      <w:r w:rsidR="00532539">
        <w:t>chooses</w:t>
      </w:r>
      <w:r>
        <w:t xml:space="preserve"> to achieve those service level objectives (SLOs) will vary based on the particulars of the application architecture.</w:t>
      </w:r>
      <w:r w:rsidR="00534845">
        <w:t xml:space="preserve"> </w:t>
      </w:r>
      <w:r>
        <w:t>Specifying those goals can influence the approaches taken during the application preparation phases to enhance application resiliency.</w:t>
      </w:r>
      <w:r w:rsidR="00534845">
        <w:t xml:space="preserve"> </w:t>
      </w:r>
      <w:r>
        <w:t>Recovery Time Objectives (RTO) and Recovery Point Objectives (RPO) are more appropriately specified at the application level (or standardized across groups of applications).</w:t>
      </w:r>
      <w:r w:rsidR="00534845">
        <w:t xml:space="preserve"> </w:t>
      </w:r>
      <w:r>
        <w:t xml:space="preserve">CSP-specific specifications are better focused on </w:t>
      </w:r>
      <w:r w:rsidR="00BF5353">
        <w:t xml:space="preserve">items such as </w:t>
      </w:r>
      <w:r>
        <w:t>average resource deployment times, resource configuration requirements (e.g.</w:t>
      </w:r>
      <w:r w:rsidR="003D1A5B">
        <w:t>,</w:t>
      </w:r>
      <w:r>
        <w:t xml:space="preserve"> VM’s with 16 cores), resource performance (e.g.</w:t>
      </w:r>
      <w:r w:rsidR="003D1A5B">
        <w:t>,</w:t>
      </w:r>
      <w:r>
        <w:t xml:space="preserve"> network and block storage </w:t>
      </w:r>
      <w:r w:rsidR="003D1A5B">
        <w:t>input/output operations per second (</w:t>
      </w:r>
      <w:r>
        <w:t>IOPS</w:t>
      </w:r>
      <w:r w:rsidR="003D1A5B">
        <w:t>)</w:t>
      </w:r>
      <w:r>
        <w:t>), and functional characteristics such as fully</w:t>
      </w:r>
      <w:r w:rsidR="003D1A5B">
        <w:t xml:space="preserve"> application programming interface (API) </w:t>
      </w:r>
      <w:r>
        <w:t>enabled access to all capabilities.</w:t>
      </w:r>
    </w:p>
    <w:p w14:paraId="1AE775C1" w14:textId="4F418966" w:rsidR="00742FA8" w:rsidRDefault="005A31BA">
      <w:r>
        <w:t xml:space="preserve">Additionally, the </w:t>
      </w:r>
      <w:r w:rsidR="00A644B9">
        <w:t>Federal Information Security Management Act (</w:t>
      </w:r>
      <w:r>
        <w:t>FISMA</w:t>
      </w:r>
      <w:r w:rsidR="00A644B9">
        <w:t>)</w:t>
      </w:r>
      <w:r>
        <w:t xml:space="preserve"> security categorization of the applications to be hosted will be a key requirement for defining the CSPs that can be leveraged by contractors. </w:t>
      </w:r>
      <w:r w:rsidR="00326622">
        <w:t>PMs should</w:t>
      </w:r>
      <w:r w:rsidR="0003616D">
        <w:t xml:space="preserve"> plan</w:t>
      </w:r>
      <w:r w:rsidR="00D1550C">
        <w:t xml:space="preserve"> </w:t>
      </w:r>
      <w:r>
        <w:t>for proactive management and processes to monitor CSP resource consumption by requiring reporting and providing mechanisms for managing and periodically reviewing consumption.</w:t>
      </w:r>
      <w:r w:rsidR="00534845">
        <w:t xml:space="preserve"> </w:t>
      </w:r>
      <w:r>
        <w:t xml:space="preserve">Contracting flexibility can be provided by employing optional </w:t>
      </w:r>
      <w:r w:rsidR="003D1A5B">
        <w:t xml:space="preserve">contract line item numbers (CLINs) </w:t>
      </w:r>
      <w:r>
        <w:t>within appropriate resource categories to accommodate future growth.</w:t>
      </w:r>
    </w:p>
    <w:p w14:paraId="3C9D2649" w14:textId="77777777" w:rsidR="00742FA8" w:rsidRPr="00F3098F" w:rsidRDefault="005A31BA" w:rsidP="00A76CF5">
      <w:pPr>
        <w:pStyle w:val="Heading5"/>
      </w:pPr>
      <w:r w:rsidRPr="00F3098F">
        <w:t>Contract Vehicle Options</w:t>
      </w:r>
    </w:p>
    <w:p w14:paraId="73D288B2" w14:textId="4DA58D3F" w:rsidR="00742FA8" w:rsidRDefault="005A31BA">
      <w:r>
        <w:t xml:space="preserve">Projects of this advanced complexity with </w:t>
      </w:r>
      <w:r w:rsidR="00BF5353">
        <w:t xml:space="preserve">a </w:t>
      </w:r>
      <w:r>
        <w:t>soup to nuts scope will need a full range of IT professional services to support the entire range of inventory and assessment, application development, and migration support functions that are required.</w:t>
      </w:r>
      <w:r w:rsidR="00534845">
        <w:t xml:space="preserve"> </w:t>
      </w:r>
      <w:r>
        <w:t>Projects with these labor requirements and multi-phase executions are typically most easily accommodated by the IT solutions based GWACs such as Alliant and CIO-SP3 as they have the flexibility and capability for such an enterprise lift.</w:t>
      </w:r>
      <w:r w:rsidR="00534845">
        <w:t xml:space="preserve"> </w:t>
      </w:r>
      <w:r>
        <w:t xml:space="preserve">Agency specific IT solutions contracts such as DHS Eagle II and VA’s T4NG </w:t>
      </w:r>
      <w:r w:rsidR="00FF7D06">
        <w:t xml:space="preserve">may </w:t>
      </w:r>
      <w:r>
        <w:t xml:space="preserve">be similarly suitable for those ordering activities eligible to </w:t>
      </w:r>
      <w:r w:rsidR="0030707D">
        <w:t>use them</w:t>
      </w:r>
      <w:r>
        <w:t>.</w:t>
      </w:r>
      <w:r w:rsidR="00534845">
        <w:t xml:space="preserve"> </w:t>
      </w:r>
      <w:r>
        <w:t>Cloud focused contracts that support the full range of services required such as DOI’s Foundation Cloud Hosting Services (FCHS) can be appropriate on a government-wide basis and Army’s ACCENT contract would be a candidate as well for Army mission owners.</w:t>
      </w:r>
      <w:r w:rsidR="00534845">
        <w:t xml:space="preserve"> </w:t>
      </w:r>
      <w:r>
        <w:t xml:space="preserve">Although there is no </w:t>
      </w:r>
      <w:r w:rsidR="0030707D">
        <w:t xml:space="preserve">individual </w:t>
      </w:r>
      <w:r>
        <w:t>requirement outside the scope, the multi-phase approach and broad range of requirements may render Schedule 70 an imperfect fit.</w:t>
      </w:r>
      <w:r w:rsidR="00534845">
        <w:t xml:space="preserve"> </w:t>
      </w:r>
      <w:r>
        <w:t xml:space="preserve">The large </w:t>
      </w:r>
      <w:r w:rsidR="007D2AA1">
        <w:t>delivery-</w:t>
      </w:r>
      <w:r>
        <w:t xml:space="preserve">order based contracts such as NASA SEWP </w:t>
      </w:r>
      <w:r w:rsidR="00326622">
        <w:t>and</w:t>
      </w:r>
      <w:r>
        <w:t xml:space="preserve"> CIO-CS </w:t>
      </w:r>
      <w:r w:rsidR="009D5149">
        <w:t xml:space="preserve">would not be suitable due to </w:t>
      </w:r>
      <w:r>
        <w:t xml:space="preserve">the overall project emphasis on the analysis, assessment, and software development aspects of this project. </w:t>
      </w:r>
    </w:p>
    <w:p w14:paraId="46766E4F" w14:textId="48506DE8" w:rsidR="00A7176F" w:rsidRPr="00A3575D" w:rsidRDefault="00A7176F" w:rsidP="00A3575D">
      <w:pPr>
        <w:spacing w:after="120" w:line="360" w:lineRule="auto"/>
        <w:rPr>
          <w:rFonts w:ascii="Century Schoolbook" w:eastAsiaTheme="majorEastAsia" w:hAnsi="Century Schoolbook" w:cstheme="majorBidi"/>
          <w:b/>
          <w:bCs/>
          <w:i/>
          <w:color w:val="1F497D" w:themeColor="text2"/>
          <w:spacing w:val="14"/>
        </w:rPr>
        <w:sectPr w:rsidR="00A7176F" w:rsidRPr="00A3575D" w:rsidSect="00F97CD7">
          <w:headerReference w:type="default" r:id="rId29"/>
          <w:pgSz w:w="12240" w:h="15840"/>
          <w:pgMar w:top="1440" w:right="1440" w:bottom="1440" w:left="1440" w:header="0" w:footer="288" w:gutter="0"/>
          <w:cols w:space="720"/>
          <w:docGrid w:linePitch="326"/>
        </w:sectPr>
      </w:pPr>
    </w:p>
    <w:p w14:paraId="6ED30E1F" w14:textId="214143AB" w:rsidR="00742FA8" w:rsidRDefault="0032135B" w:rsidP="00A76CF5">
      <w:pPr>
        <w:pStyle w:val="Heading3"/>
      </w:pPr>
      <w:r>
        <w:rPr>
          <w:noProof/>
        </w:rPr>
        <w:drawing>
          <wp:anchor distT="0" distB="0" distL="114300" distR="114300" simplePos="0" relativeHeight="251655168" behindDoc="0" locked="0" layoutInCell="1" allowOverlap="1" wp14:anchorId="371E3AE4" wp14:editId="74D9B223">
            <wp:simplePos x="0" y="0"/>
            <wp:positionH relativeFrom="column">
              <wp:posOffset>2409825</wp:posOffset>
            </wp:positionH>
            <wp:positionV relativeFrom="paragraph">
              <wp:posOffset>0</wp:posOffset>
            </wp:positionV>
            <wp:extent cx="3534410" cy="938530"/>
            <wp:effectExtent l="0" t="0" r="889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134"/>
                    <a:stretch/>
                  </pic:blipFill>
                  <pic:spPr bwMode="auto">
                    <a:xfrm>
                      <a:off x="0" y="0"/>
                      <a:ext cx="3534410" cy="938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Scenario</w:t>
      </w:r>
      <w:r w:rsidR="000F30A1">
        <w:t xml:space="preserve"> 2: </w:t>
      </w:r>
      <w:r w:rsidR="00BB1346">
        <w:t>Building Cloud</w:t>
      </w:r>
    </w:p>
    <w:p w14:paraId="31D1A609" w14:textId="5F92E3FD" w:rsidR="00742FA8" w:rsidRDefault="0032135B" w:rsidP="00A76CF5">
      <w:pPr>
        <w:pStyle w:val="Heading4"/>
      </w:pPr>
      <w:r>
        <w:t>Initial Conditions</w:t>
      </w:r>
      <w:r w:rsidR="005A31BA">
        <w:t>:</w:t>
      </w:r>
    </w:p>
    <w:p w14:paraId="45F7A842" w14:textId="1FFD4A73" w:rsidR="00E00664" w:rsidRDefault="00E00664" w:rsidP="00946FD0">
      <w:pPr>
        <w:pStyle w:val="BodyBullet1"/>
      </w:pPr>
      <w:r>
        <w:t>Management has asked you to move your largest line of business to the cloud.</w:t>
      </w:r>
    </w:p>
    <w:p w14:paraId="48FEC06C" w14:textId="71C8837D" w:rsidR="00E00664" w:rsidRDefault="00E00664" w:rsidP="00946FD0">
      <w:pPr>
        <w:pStyle w:val="BodyBullet1"/>
      </w:pPr>
      <w:r>
        <w:t>Your agency recently completed an IT systems application inventory and assessment as part of a successful governance process remediation effort.</w:t>
      </w:r>
    </w:p>
    <w:p w14:paraId="7028BDE8" w14:textId="3F048F00" w:rsidR="00E00664" w:rsidRDefault="00E00664" w:rsidP="00946FD0">
      <w:pPr>
        <w:pStyle w:val="BodyBullet1"/>
      </w:pPr>
      <w:r>
        <w:t>Your agency has put a single business support application in the cloud last year.</w:t>
      </w:r>
    </w:p>
    <w:p w14:paraId="377ED229" w14:textId="2CEECB1E" w:rsidR="00E00664" w:rsidRDefault="00E00664" w:rsidP="00946FD0">
      <w:pPr>
        <w:pStyle w:val="BodyBullet1"/>
      </w:pPr>
      <w:r>
        <w:t>You are from a medium sized component agency (25,000</w:t>
      </w:r>
      <w:r w:rsidR="00AF063B">
        <w:t xml:space="preserve"> employees</w:t>
      </w:r>
      <w:r>
        <w:t>) within a cabinet level department.</w:t>
      </w:r>
    </w:p>
    <w:p w14:paraId="175132A2" w14:textId="72C90B3C" w:rsidR="00E00664" w:rsidRDefault="00E00664" w:rsidP="00946FD0">
      <w:pPr>
        <w:pStyle w:val="BodyBullet1"/>
      </w:pPr>
      <w:r>
        <w:t>You worked for a cloud provider before joining your current agency</w:t>
      </w:r>
      <w:r w:rsidR="0032135B">
        <w:t>.</w:t>
      </w:r>
    </w:p>
    <w:p w14:paraId="71AF5D56" w14:textId="0516FC92" w:rsidR="00742FA8" w:rsidRDefault="00E00664" w:rsidP="00946FD0">
      <w:pPr>
        <w:pStyle w:val="BodyBullet1"/>
      </w:pPr>
      <w:r>
        <w:t>Most agree, your CI</w:t>
      </w:r>
      <w:r w:rsidR="0032135B">
        <w:t>O shop is stretched to capacity.</w:t>
      </w:r>
    </w:p>
    <w:p w14:paraId="70484494" w14:textId="77777777" w:rsidR="00036695" w:rsidRDefault="00036695" w:rsidP="00A76CF5">
      <w:pPr>
        <w:pStyle w:val="Heading4"/>
      </w:pPr>
      <w:r>
        <w:t xml:space="preserve">Additional Assumptions </w:t>
      </w:r>
    </w:p>
    <w:p w14:paraId="1F7BC86B" w14:textId="3477A916" w:rsidR="00036695" w:rsidRDefault="00036695" w:rsidP="00946FD0">
      <w:pPr>
        <w:pStyle w:val="BodyBullet1"/>
      </w:pPr>
      <w:r>
        <w:t xml:space="preserve">Some application re-engineering </w:t>
      </w:r>
      <w:r w:rsidR="00D8426A">
        <w:t xml:space="preserve">within this largest line of </w:t>
      </w:r>
      <w:r w:rsidR="00EB337A">
        <w:t>business</w:t>
      </w:r>
      <w:r w:rsidR="0032135B">
        <w:t xml:space="preserve"> (LOB)</w:t>
      </w:r>
      <w:r w:rsidR="00EB337A">
        <w:t xml:space="preserve"> </w:t>
      </w:r>
      <w:r w:rsidR="00D8426A">
        <w:t xml:space="preserve">application </w:t>
      </w:r>
      <w:r>
        <w:t>will be required prio</w:t>
      </w:r>
      <w:r w:rsidR="00EB337A">
        <w:t>r to migrating to cloud.</w:t>
      </w:r>
    </w:p>
    <w:p w14:paraId="325EA0D6" w14:textId="6BF079C0" w:rsidR="00EB337A" w:rsidRDefault="00EB337A" w:rsidP="00946FD0">
      <w:pPr>
        <w:pStyle w:val="BodyBullet1"/>
      </w:pPr>
      <w:r>
        <w:t>Single acquisition.</w:t>
      </w:r>
    </w:p>
    <w:p w14:paraId="45458A4C" w14:textId="27084A40" w:rsidR="00742FA8" w:rsidRDefault="005A31BA" w:rsidP="00A76CF5">
      <w:pPr>
        <w:pStyle w:val="Heading4"/>
      </w:pPr>
      <w:r>
        <w:t>Checklist</w:t>
      </w:r>
    </w:p>
    <w:p w14:paraId="17D74FF1" w14:textId="6F3B9201" w:rsidR="00742FA8" w:rsidRDefault="00E00664" w:rsidP="00946FD0">
      <w:pPr>
        <w:pStyle w:val="BodyBullet2"/>
      </w:pPr>
      <w:r w:rsidRPr="00E00664">
        <w:t>Current enterprise and solution architecture documentation.</w:t>
      </w:r>
    </w:p>
    <w:p w14:paraId="3A228B38" w14:textId="453E4C70" w:rsidR="00742FA8" w:rsidRDefault="005A31BA" w:rsidP="00946FD0">
      <w:pPr>
        <w:pStyle w:val="BodyBullet2"/>
      </w:pPr>
      <w:r>
        <w:t>Application reconciliation contract or internal work plan</w:t>
      </w:r>
      <w:r w:rsidR="00EB337A">
        <w:t>.</w:t>
      </w:r>
    </w:p>
    <w:p w14:paraId="5A43C5CC" w14:textId="02072CFF" w:rsidR="00742FA8" w:rsidRDefault="005A31BA" w:rsidP="00946FD0">
      <w:pPr>
        <w:pStyle w:val="BodyBullet2"/>
      </w:pPr>
      <w:r>
        <w:t>Organizational knowledge development plan</w:t>
      </w:r>
      <w:r w:rsidR="00EB337A">
        <w:t>.</w:t>
      </w:r>
    </w:p>
    <w:p w14:paraId="750816DF" w14:textId="6855F0FA" w:rsidR="00742FA8" w:rsidRDefault="005A31BA" w:rsidP="00946FD0">
      <w:pPr>
        <w:pStyle w:val="BodyBullet2"/>
      </w:pPr>
      <w:r>
        <w:t>Post-migration application support strategy</w:t>
      </w:r>
      <w:r w:rsidR="00EB337A">
        <w:t>.</w:t>
      </w:r>
    </w:p>
    <w:p w14:paraId="22C0A5BB" w14:textId="1799357A" w:rsidR="00252207" w:rsidRDefault="00252207" w:rsidP="00946FD0">
      <w:pPr>
        <w:pStyle w:val="BodyBullet2"/>
      </w:pPr>
      <w:r>
        <w:t>Network architecture and connectivity – TIC compliance is met and required common services for integrations are available within required service levels.</w:t>
      </w:r>
    </w:p>
    <w:p w14:paraId="52625B34" w14:textId="440A8575" w:rsidR="00742FA8" w:rsidRDefault="005A31BA" w:rsidP="00946FD0">
      <w:pPr>
        <w:pStyle w:val="BodyBullet2"/>
      </w:pPr>
      <w:r>
        <w:t>Cost goals that reflect what is more expensive and what is less expensive when deploying cloud services</w:t>
      </w:r>
      <w:r w:rsidR="00EB337A">
        <w:t>.</w:t>
      </w:r>
    </w:p>
    <w:p w14:paraId="2251ACD7" w14:textId="77777777" w:rsidR="00742FA8" w:rsidRDefault="005A31BA" w:rsidP="00A76CF5">
      <w:pPr>
        <w:pStyle w:val="Heading4"/>
      </w:pPr>
      <w:r>
        <w:t>Key Questions</w:t>
      </w:r>
    </w:p>
    <w:p w14:paraId="2C03AAEE" w14:textId="23E81EDA" w:rsidR="00E00664" w:rsidRDefault="00E00664" w:rsidP="00946FD0">
      <w:pPr>
        <w:pStyle w:val="BodyBullet1"/>
      </w:pPr>
      <w:r>
        <w:t xml:space="preserve">What is the condition of your enterprise architecture blueprints? Are they good enough to facilitate migration of the LOB app to a CSP? </w:t>
      </w:r>
    </w:p>
    <w:p w14:paraId="23C139A4" w14:textId="1AF450D0" w:rsidR="00E00664" w:rsidRDefault="00E00664" w:rsidP="00946FD0">
      <w:pPr>
        <w:pStyle w:val="BodyBullet1"/>
      </w:pPr>
      <w:r>
        <w:t>Have you decided what identity management approaches are acceptable and desirable?</w:t>
      </w:r>
    </w:p>
    <w:p w14:paraId="46CCFF80" w14:textId="29CCF735" w:rsidR="00E00664" w:rsidRDefault="00E00664" w:rsidP="00946FD0">
      <w:pPr>
        <w:pStyle w:val="BodyBullet1"/>
      </w:pPr>
      <w:r>
        <w:t xml:space="preserve">Do you have a comprehensive set of service level agreement </w:t>
      </w:r>
      <w:r w:rsidR="00741375">
        <w:t xml:space="preserve">(SLA) </w:t>
      </w:r>
      <w:r>
        <w:t>requirements? Does it include acceptable application performance metrics?</w:t>
      </w:r>
    </w:p>
    <w:p w14:paraId="4172B0CF" w14:textId="37347636" w:rsidR="00E00664" w:rsidRDefault="00E00664" w:rsidP="00946FD0">
      <w:pPr>
        <w:pStyle w:val="BodyBullet1"/>
      </w:pPr>
      <w:r>
        <w:t>Do you have a “consumption-to-cost” management and adjustment mechanism?</w:t>
      </w:r>
    </w:p>
    <w:p w14:paraId="67F5D0D6" w14:textId="72A7B3CE" w:rsidR="00E00664" w:rsidRDefault="00E00664" w:rsidP="00946FD0">
      <w:pPr>
        <w:pStyle w:val="BodyBullet1"/>
      </w:pPr>
      <w:r>
        <w:t>Is governance in place?</w:t>
      </w:r>
    </w:p>
    <w:p w14:paraId="7A5B1584" w14:textId="77777777" w:rsidR="00E3270F" w:rsidRDefault="00E00664" w:rsidP="00946FD0">
      <w:pPr>
        <w:pStyle w:val="BodyBullet1"/>
      </w:pPr>
      <w:r>
        <w:t>Can you discuss your strategy for cloud sourcing? Do you have a roadmap?</w:t>
      </w:r>
    </w:p>
    <w:p w14:paraId="3E18D4C7" w14:textId="77777777" w:rsidR="00E3270F" w:rsidRDefault="00E00664" w:rsidP="00946FD0">
      <w:pPr>
        <w:pStyle w:val="BodyBullet1"/>
      </w:pPr>
      <w:r>
        <w:t>Are the stakeholders in all key areas at the same industry knowledge level for cloud?</w:t>
      </w:r>
    </w:p>
    <w:p w14:paraId="126A29D8" w14:textId="0E32AA73" w:rsidR="00E3270F" w:rsidRDefault="00E3270F" w:rsidP="00946FD0">
      <w:pPr>
        <w:pStyle w:val="BodyBullet1"/>
      </w:pPr>
      <w:r>
        <w:t>Is your security breach and notification plan thorough, compliant</w:t>
      </w:r>
      <w:r w:rsidR="0032135B">
        <w:t>,</w:t>
      </w:r>
      <w:r>
        <w:t xml:space="preserve"> and resilient?</w:t>
      </w:r>
    </w:p>
    <w:p w14:paraId="11EA65AD" w14:textId="2EE3D32F" w:rsidR="00E3270F" w:rsidRDefault="00E3270F" w:rsidP="00946FD0">
      <w:pPr>
        <w:pStyle w:val="BodyBullet1"/>
      </w:pPr>
      <w:r>
        <w:t>Will your current service level definitions accommodate this delivery plan?</w:t>
      </w:r>
    </w:p>
    <w:p w14:paraId="589635B5" w14:textId="77777777" w:rsidR="00742FA8" w:rsidRDefault="005A31BA" w:rsidP="00A76CF5">
      <w:pPr>
        <w:pStyle w:val="Heading4"/>
      </w:pPr>
      <w:r>
        <w:t>Discussion</w:t>
      </w:r>
    </w:p>
    <w:p w14:paraId="15974B01" w14:textId="77777777" w:rsidR="00742FA8" w:rsidRPr="001A099D" w:rsidRDefault="005A31BA" w:rsidP="00A76CF5">
      <w:pPr>
        <w:pStyle w:val="Heading5"/>
      </w:pPr>
      <w:r w:rsidRPr="001A099D">
        <w:t>Application Preparation</w:t>
      </w:r>
    </w:p>
    <w:p w14:paraId="68252E91" w14:textId="19681B3B" w:rsidR="00742FA8" w:rsidRDefault="005A31BA">
      <w:r>
        <w:t xml:space="preserve">With the target project consisting of your largest </w:t>
      </w:r>
      <w:r w:rsidR="0032135B">
        <w:t>LOB</w:t>
      </w:r>
      <w:r>
        <w:t>, risk is elevated for your cloud migration.</w:t>
      </w:r>
      <w:r w:rsidR="00534845">
        <w:t xml:space="preserve"> </w:t>
      </w:r>
      <w:r>
        <w:t>Given the importance of the application you are taking the opportunity to modernize your application to an appropriate extent to improve reliability and lower future maintenance burdens by leveraging features of cloud computing.</w:t>
      </w:r>
      <w:r w:rsidR="00534845">
        <w:t xml:space="preserve"> </w:t>
      </w:r>
      <w:r>
        <w:t>Ensuring current documentation, security posture improvements, leveraging modern architecture and interface capabilities, and enhancing testing and maintenance efficiency are just some of the outcomes of careful application preparation.</w:t>
      </w:r>
    </w:p>
    <w:p w14:paraId="75785C45" w14:textId="649E73A0" w:rsidR="00742FA8" w:rsidRDefault="005A31BA">
      <w:r>
        <w:t>However, this significant project will be building on at least some prior cloud experience and therefore some network topology and systems integration concerns will have been included or at least considered with the prior business support application migration.</w:t>
      </w:r>
      <w:r w:rsidR="00534845">
        <w:t xml:space="preserve"> </w:t>
      </w:r>
      <w:r w:rsidR="008F4B42">
        <w:t>Consideration will also be required for complying with processes defined at the department level</w:t>
      </w:r>
      <w:r w:rsidR="00D85030">
        <w:t xml:space="preserve">. </w:t>
      </w:r>
      <w:r w:rsidR="008F4B42">
        <w:t>When these are well executed they can provide useful elements that can be leveraged by the component agency</w:t>
      </w:r>
      <w:r w:rsidR="0032135B">
        <w:t>,</w:t>
      </w:r>
      <w:r w:rsidR="008F4B42">
        <w:t xml:space="preserve"> but some remain works-in-progress. </w:t>
      </w:r>
      <w:r>
        <w:t>Contracting for IT projects of this type always requires detailed and comprehensive system descriptions of the as-is state and detailed objectives for the to-be state.</w:t>
      </w:r>
    </w:p>
    <w:p w14:paraId="2578BCFA" w14:textId="39B3F1ED" w:rsidR="00742FA8" w:rsidRDefault="005A31BA">
      <w:r>
        <w:t>As an IT system inventory and assessment has been completed, we can trust that much of the as-is documentation for this system</w:t>
      </w:r>
      <w:r w:rsidR="00326622">
        <w:t xml:space="preserve"> </w:t>
      </w:r>
      <w:r>
        <w:t>/</w:t>
      </w:r>
      <w:r w:rsidR="00326622">
        <w:t xml:space="preserve"> </w:t>
      </w:r>
      <w:r>
        <w:t>line-of-business has been completed and remains current.</w:t>
      </w:r>
      <w:r w:rsidR="00534845">
        <w:t xml:space="preserve"> </w:t>
      </w:r>
      <w:r>
        <w:t>Depending on the scope of that initial effort, it may even have outlined some modernization paths for this application suite. In the more likely scenario that it did not, your current project will need to anticipate some uncertainty in the implemented approach to its preparation for the cloud.</w:t>
      </w:r>
      <w:r w:rsidR="00534845">
        <w:t xml:space="preserve"> </w:t>
      </w:r>
      <w:r>
        <w:t>Given the assumption of a single acquisition, you’ll be asking vendors for an end-to-end solution approach.</w:t>
      </w:r>
      <w:r w:rsidR="00534845">
        <w:t xml:space="preserve"> </w:t>
      </w:r>
      <w:r>
        <w:t>This can result in sub-optimal outcomes if various vendors propose different approaches to the project sections with no vendor proposing what might be the best approach for each project section.</w:t>
      </w:r>
      <w:r w:rsidR="00534845">
        <w:t xml:space="preserve"> </w:t>
      </w:r>
      <w:r>
        <w:t xml:space="preserve">Early contractor engagement during market research and especially the use of </w:t>
      </w:r>
      <w:r w:rsidR="0032135B">
        <w:t xml:space="preserve">RFI’s </w:t>
      </w:r>
      <w:r>
        <w:t>can be very valuable in providing input to framing the project and the solicitation to ensure that the organization’s goals are met.</w:t>
      </w:r>
    </w:p>
    <w:p w14:paraId="23F68AAE" w14:textId="2FFE7F43" w:rsidR="00742FA8" w:rsidRDefault="005A31BA">
      <w:r>
        <w:t xml:space="preserve">The to-be state after application refactoring must be consistent with </w:t>
      </w:r>
      <w:r w:rsidR="0023404F">
        <w:t xml:space="preserve">your </w:t>
      </w:r>
      <w:r>
        <w:t xml:space="preserve">existing </w:t>
      </w:r>
      <w:r w:rsidR="0023404F">
        <w:t xml:space="preserve">component </w:t>
      </w:r>
      <w:r>
        <w:t>agency enterprise architecture, platform, and security standards</w:t>
      </w:r>
      <w:r w:rsidR="0023404F">
        <w:t xml:space="preserve"> and further require inclusion of the department-wide versions of those same documents.</w:t>
      </w:r>
      <w:r w:rsidR="00534845">
        <w:t xml:space="preserve"> </w:t>
      </w:r>
      <w:r>
        <w:t>All of these documents will need to be referenced in the solicitation</w:t>
      </w:r>
      <w:r w:rsidR="0023404F">
        <w:t xml:space="preserve"> and some judgements will have to made (or obtained) if there are conflicts between them or are undergoing resolution processes</w:t>
      </w:r>
      <w:r>
        <w:t>.</w:t>
      </w:r>
      <w:r w:rsidR="00534845">
        <w:t xml:space="preserve"> </w:t>
      </w:r>
      <w:r>
        <w:t>If exceptions to such standards have been made for this project, such as a particular legacy system component to be replaced separately, those should be clearly noted as well.</w:t>
      </w:r>
    </w:p>
    <w:p w14:paraId="4432F01B" w14:textId="43C3BA61" w:rsidR="00742FA8" w:rsidRDefault="005A31BA">
      <w:r>
        <w:t>Multiple contracting approaches are possible with projects of this complexity that comprise multiple phases.</w:t>
      </w:r>
      <w:r w:rsidR="00534845">
        <w:t xml:space="preserve"> </w:t>
      </w:r>
      <w:r>
        <w:t>Separate CLINs can be created for each phase and these can further be broken down within a phase.</w:t>
      </w:r>
      <w:r w:rsidR="00534845">
        <w:t xml:space="preserve"> </w:t>
      </w:r>
      <w:r>
        <w:t>Hybrid contract types with optional CLINs mixing FFP and T&amp;M (or just Labor Hour) provide tremendous flexibility to ensure successful project execution within the scope of the awarded contract.</w:t>
      </w:r>
    </w:p>
    <w:p w14:paraId="71320CCE" w14:textId="77777777" w:rsidR="00742FA8" w:rsidRPr="00A76CF5" w:rsidRDefault="005A31BA" w:rsidP="00A76CF5">
      <w:pPr>
        <w:pStyle w:val="Heading5"/>
      </w:pPr>
      <w:r w:rsidRPr="00A76CF5">
        <w:t>Migration Support</w:t>
      </w:r>
    </w:p>
    <w:p w14:paraId="2822223D" w14:textId="64046776" w:rsidR="00742FA8" w:rsidRDefault="005A31BA">
      <w:r>
        <w:t>It is a given that agency staff resources will be involved in the transition to the new cloud hosting environment for this important line of business application.</w:t>
      </w:r>
      <w:r w:rsidR="00534845">
        <w:t xml:space="preserve"> </w:t>
      </w:r>
      <w:r>
        <w:t>Very likely</w:t>
      </w:r>
      <w:r w:rsidR="00326622">
        <w:t>,</w:t>
      </w:r>
      <w:r>
        <w:t xml:space="preserve"> existing contractor support resources for this application will also be utilized commensurate to their scope of support.</w:t>
      </w:r>
      <w:r w:rsidR="00534845">
        <w:t xml:space="preserve"> </w:t>
      </w:r>
      <w:r>
        <w:t>Nevertheless</w:t>
      </w:r>
      <w:r w:rsidR="004D30CB">
        <w:t>,</w:t>
      </w:r>
      <w:r>
        <w:t xml:space="preserve"> you can anticipate needing transition related support activities including project management for the planning, implementation, cutover, and legacy shutdown activities for the application as well.</w:t>
      </w:r>
      <w:r w:rsidR="00534845">
        <w:t xml:space="preserve"> </w:t>
      </w:r>
      <w:r>
        <w:t>The important theme for both your project</w:t>
      </w:r>
      <w:r w:rsidR="00326622">
        <w:t>,</w:t>
      </w:r>
      <w:r>
        <w:t xml:space="preserve"> and especially the related solicitation</w:t>
      </w:r>
      <w:r w:rsidR="00326622">
        <w:t>,</w:t>
      </w:r>
      <w:r>
        <w:t xml:space="preserve"> is to be clear and thorough identifying the roles and responsibilities of existing stakeholders and those to be undertaken by your new contractor.</w:t>
      </w:r>
      <w:r w:rsidR="00FE716A">
        <w:t xml:space="preserve"> As the comprehensiveness of the descriptions of the as-is and to-be states increases within the solicitation, </w:t>
      </w:r>
      <w:r w:rsidR="001D396B">
        <w:t>the ability to use FFP for the migration work will also increase.</w:t>
      </w:r>
    </w:p>
    <w:p w14:paraId="40884B1D" w14:textId="77777777" w:rsidR="00742FA8" w:rsidRPr="001A099D" w:rsidRDefault="005A31BA" w:rsidP="00A76CF5">
      <w:pPr>
        <w:pStyle w:val="Heading5"/>
      </w:pPr>
      <w:r w:rsidRPr="001A099D">
        <w:t>CSP</w:t>
      </w:r>
    </w:p>
    <w:p w14:paraId="47B65FEA" w14:textId="0A794E67" w:rsidR="00742FA8" w:rsidRDefault="005A31BA" w:rsidP="00D62F92">
      <w:r>
        <w:t xml:space="preserve">The relative dollar value of the CSP hosting services in this scenario will typically </w:t>
      </w:r>
      <w:r w:rsidR="00315CB4">
        <w:t xml:space="preserve">result in </w:t>
      </w:r>
      <w:r>
        <w:t>reduced attention given to this aspect of the project.</w:t>
      </w:r>
      <w:r w:rsidR="00534845">
        <w:t xml:space="preserve"> </w:t>
      </w:r>
      <w:r>
        <w:t xml:space="preserve">The </w:t>
      </w:r>
      <w:r w:rsidR="00315CB4">
        <w:t xml:space="preserve">overall </w:t>
      </w:r>
      <w:r>
        <w:t xml:space="preserve">scope of </w:t>
      </w:r>
      <w:r w:rsidR="00315CB4">
        <w:t xml:space="preserve">the </w:t>
      </w:r>
      <w:r>
        <w:t xml:space="preserve">line of business application being migrated may </w:t>
      </w:r>
      <w:r w:rsidR="006C00EC">
        <w:t xml:space="preserve">consist of </w:t>
      </w:r>
      <w:r>
        <w:t>many subsystems creating a large footprint of VM’s, storage, and bandwidth consumed by the aggregated whole.</w:t>
      </w:r>
      <w:r w:rsidR="00534845">
        <w:t xml:space="preserve"> </w:t>
      </w:r>
      <w:r>
        <w:t xml:space="preserve">This </w:t>
      </w:r>
      <w:r w:rsidR="006C00EC">
        <w:t xml:space="preserve">initial resource footprint </w:t>
      </w:r>
      <w:r>
        <w:t xml:space="preserve">will be further multiplied when factoring in the various environment instances required for a full development lifecycle such as for development, integration, </w:t>
      </w:r>
      <w:r w:rsidR="00326622">
        <w:t>quality assurance (</w:t>
      </w:r>
      <w:r>
        <w:t>QA</w:t>
      </w:r>
      <w:r w:rsidR="00326622">
        <w:t>)</w:t>
      </w:r>
      <w:r>
        <w:t>, and production environments.</w:t>
      </w:r>
      <w:r w:rsidR="00534845">
        <w:t xml:space="preserve"> </w:t>
      </w:r>
      <w:r>
        <w:t>Compounding the contractor’s problem in pricing such services</w:t>
      </w:r>
      <w:r w:rsidR="00615665">
        <w:t>,</w:t>
      </w:r>
      <w:r>
        <w:t xml:space="preserve"> will be the phased approach of the project and potential significant unknowns in the application modernization and preparation phase that will impact resource consumption while seeking to maintain performance characteristics.</w:t>
      </w:r>
    </w:p>
    <w:p w14:paraId="3A8A7FAE" w14:textId="0E82EF82" w:rsidR="00742FA8" w:rsidRDefault="005A31BA" w:rsidP="00D62F92">
      <w:r>
        <w:t>Plan for proactive management of CSP resource consumption by requiring estimates and providing mechanisms for managing and periodically reviewing consumption.</w:t>
      </w:r>
      <w:r w:rsidR="00534845">
        <w:t xml:space="preserve"> </w:t>
      </w:r>
      <w:r>
        <w:t>Contracting flexibility can be provided by employing optional CLINs within appropriate resource categories to accommodate future growth.</w:t>
      </w:r>
    </w:p>
    <w:p w14:paraId="6E5110B9" w14:textId="034CF499" w:rsidR="00742FA8" w:rsidRDefault="005A31BA" w:rsidP="00D62F92">
      <w:r>
        <w:t>As always, the FISMA security categorization will be essential in determining the available pool of CSPs that can be leveraged by contractors.</w:t>
      </w:r>
      <w:r w:rsidR="00534845">
        <w:t xml:space="preserve"> </w:t>
      </w:r>
      <w:r>
        <w:t>Integration considerations for related applications can impact hosting CSP selection for performance and manageability reasons based on where those resources are hosted and the nature of the system interactions.</w:t>
      </w:r>
      <w:r w:rsidR="00534845">
        <w:t xml:space="preserve"> </w:t>
      </w:r>
      <w:r>
        <w:t>Again, effective comprehensive documentation of your existing IT system state will be key to contractor success in their proposed solutions.</w:t>
      </w:r>
    </w:p>
    <w:p w14:paraId="36FB733B" w14:textId="77777777" w:rsidR="00742FA8" w:rsidRPr="001A099D" w:rsidRDefault="005A31BA" w:rsidP="00A76CF5">
      <w:pPr>
        <w:pStyle w:val="Heading5"/>
      </w:pPr>
      <w:r w:rsidRPr="001A099D">
        <w:t>Contract Vehicle Options</w:t>
      </w:r>
    </w:p>
    <w:p w14:paraId="51EBC6F2" w14:textId="322BBC82" w:rsidR="0039390C" w:rsidRDefault="0039390C">
      <w:r>
        <w:t xml:space="preserve">Admittedly, given the scenario characteristic of </w:t>
      </w:r>
      <w:r w:rsidR="00891B90">
        <w:t xml:space="preserve">a </w:t>
      </w:r>
      <w:r>
        <w:t xml:space="preserve">sizable component agency within large agency, a standalone single contract for a project of this scope may not be a common procurement with multiple department level enterprise </w:t>
      </w:r>
      <w:r w:rsidR="002F6F92">
        <w:t xml:space="preserve">management </w:t>
      </w:r>
      <w:r>
        <w:t>consolidation efforts</w:t>
      </w:r>
      <w:r w:rsidR="002F6F92">
        <w:t xml:space="preserve"> in various stages of implementation at play</w:t>
      </w:r>
      <w:r w:rsidR="00D85030">
        <w:t xml:space="preserve">. </w:t>
      </w:r>
      <w:r w:rsidR="002F6F92">
        <w:t>There may be preferred</w:t>
      </w:r>
      <w:r w:rsidR="00B773E5">
        <w:t xml:space="preserve"> contracting</w:t>
      </w:r>
      <w:r w:rsidR="002F6F92">
        <w:t xml:space="preserve"> vehicles</w:t>
      </w:r>
      <w:r w:rsidR="00B773E5">
        <w:t xml:space="preserve"> and exception requests may need to be complet</w:t>
      </w:r>
      <w:r w:rsidR="0023404F">
        <w:t>ed to go outside these channels</w:t>
      </w:r>
      <w:r w:rsidR="00FC0536">
        <w:t>,</w:t>
      </w:r>
      <w:r w:rsidR="0023404F">
        <w:t xml:space="preserve"> or existing contracts for certain services may be on a must</w:t>
      </w:r>
      <w:r w:rsidR="00FC0536">
        <w:t>-</w:t>
      </w:r>
      <w:r w:rsidR="0023404F">
        <w:t>use basis that would prevent project execution within a single acquisition framework</w:t>
      </w:r>
      <w:r w:rsidR="00D85030">
        <w:t xml:space="preserve">. </w:t>
      </w:r>
    </w:p>
    <w:p w14:paraId="6780792B" w14:textId="6BD4D643" w:rsidR="00742FA8" w:rsidRDefault="005A31BA">
      <w:r>
        <w:t xml:space="preserve">This </w:t>
      </w:r>
      <w:r w:rsidR="00FC0536">
        <w:t xml:space="preserve">play </w:t>
      </w:r>
      <w:r w:rsidR="006C00EC">
        <w:t xml:space="preserve">is composed of </w:t>
      </w:r>
      <w:r>
        <w:t>major steps involving at least three main phases</w:t>
      </w:r>
      <w:r w:rsidR="00FC0536">
        <w:t>. P</w:t>
      </w:r>
      <w:r>
        <w:t xml:space="preserve">otentially the biggest phase in both cost and schedule risk </w:t>
      </w:r>
      <w:r w:rsidR="00FC0536">
        <w:t xml:space="preserve">is </w:t>
      </w:r>
      <w:r>
        <w:t>the application preparation</w:t>
      </w:r>
      <w:r w:rsidR="00FC0536">
        <w:t xml:space="preserve"> phase</w:t>
      </w:r>
      <w:r>
        <w:t>. The overall scope of this effort will favor either specialty cloud migration focused contract vehicles (e.g.</w:t>
      </w:r>
      <w:r w:rsidR="00FC0536">
        <w:t>,</w:t>
      </w:r>
      <w:r>
        <w:t xml:space="preserve"> ACCENT) or solutions-based general purpose IT vehicles (e.g.</w:t>
      </w:r>
      <w:r w:rsidR="00FC0536">
        <w:t>,</w:t>
      </w:r>
      <w:r>
        <w:t xml:space="preserve"> Alliant, CIO-SP3). They will provide the flexibility in scope to handle the potentially significant resource effort needed to reengineer the application.</w:t>
      </w:r>
      <w:r w:rsidR="00534845">
        <w:t xml:space="preserve"> </w:t>
      </w:r>
      <w:r>
        <w:t>GSA’s Schedule 70 is a potential option as well with the solicitation spanning both SIN 132-40 for the cloud services and SIN 132-51 for the professional services needed to execute both the application refactoring and the hosting transition efforts.</w:t>
      </w:r>
      <w:r w:rsidR="00534845">
        <w:t xml:space="preserve"> </w:t>
      </w:r>
      <w:r w:rsidR="007D2AA1">
        <w:t>Delivery-order</w:t>
      </w:r>
      <w:r>
        <w:t xml:space="preserve"> based GWACs (e.g.</w:t>
      </w:r>
      <w:r w:rsidR="00615665">
        <w:t>,</w:t>
      </w:r>
      <w:r>
        <w:t xml:space="preserve"> NASA SEWP</w:t>
      </w:r>
      <w:r w:rsidR="00615665">
        <w:t xml:space="preserve"> and</w:t>
      </w:r>
      <w:r>
        <w:t xml:space="preserve"> CIO-CS) will likely be a poor fit as the application development effort for refactoring</w:t>
      </w:r>
      <w:r w:rsidR="00615665">
        <w:t>,</w:t>
      </w:r>
      <w:r>
        <w:t xml:space="preserve"> combine</w:t>
      </w:r>
      <w:r w:rsidR="006C00EC">
        <w:t>d</w:t>
      </w:r>
      <w:r>
        <w:t xml:space="preserve"> with the transition support services result in the </w:t>
      </w:r>
      <w:r w:rsidR="006C00EC">
        <w:t xml:space="preserve">required </w:t>
      </w:r>
      <w:r>
        <w:t>professional services</w:t>
      </w:r>
      <w:r w:rsidR="00646CFF">
        <w:t xml:space="preserve"> dominating the project and</w:t>
      </w:r>
      <w:r>
        <w:t xml:space="preserve"> overwhelming the cloud hosting portion of the acquisition.</w:t>
      </w:r>
    </w:p>
    <w:p w14:paraId="3805A086" w14:textId="418A3DB0" w:rsidR="00DE0840" w:rsidRDefault="005A31BA" w:rsidP="00A204B7">
      <w:pPr>
        <w:rPr>
          <w:rFonts w:ascii="Century Schoolbook" w:eastAsiaTheme="majorEastAsia" w:hAnsi="Century Schoolbook" w:cstheme="majorBidi"/>
          <w:b/>
          <w:bCs/>
          <w:i/>
          <w:color w:val="1F497D" w:themeColor="text2"/>
          <w:spacing w:val="14"/>
        </w:rPr>
      </w:pPr>
      <w:r>
        <w:t>DHS has undertaken a department-wide strategy of establishing separate contracting solutions for commercial commodity</w:t>
      </w:r>
      <w:r w:rsidR="00646CFF">
        <w:t>-</w:t>
      </w:r>
      <w:r>
        <w:t xml:space="preserve">based IaaS cloud hosting services (DHS </w:t>
      </w:r>
      <w:r w:rsidR="009A13F4">
        <w:t>Enterprise Computing Services [</w:t>
      </w:r>
      <w:r>
        <w:t>ECS</w:t>
      </w:r>
      <w:r w:rsidR="009A13F4">
        <w:t>]</w:t>
      </w:r>
      <w:r>
        <w:t xml:space="preserve"> BPAs) versus the professional IT services needed for supporting those CSPs.</w:t>
      </w:r>
      <w:r w:rsidR="00534845">
        <w:t xml:space="preserve"> </w:t>
      </w:r>
      <w:r>
        <w:t>This model of having separate acquisitions can still effectively meet mission needs</w:t>
      </w:r>
      <w:r w:rsidR="004F783E">
        <w:t>, albeit with a different set of tradeoff considerations based on the parameters</w:t>
      </w:r>
      <w:r>
        <w:t>.</w:t>
      </w:r>
      <w:r w:rsidR="00534845">
        <w:t xml:space="preserve"> </w:t>
      </w:r>
      <w:r>
        <w:t>Consideration through governance processes and/or requirements within the professional services solicitation will need to be made to manage system integrator consumption of hosting resources they are not providing.</w:t>
      </w:r>
      <w:r w:rsidR="00534845">
        <w:t xml:space="preserve"> </w:t>
      </w:r>
      <w:r>
        <w:t>Contractors should be required to provide estimates of cloud hosting resources anticipated to be used and be held accountable to those estimates.</w:t>
      </w:r>
    </w:p>
    <w:p w14:paraId="3B4DC68C" w14:textId="77777777" w:rsidR="000F30A1" w:rsidRDefault="000F30A1">
      <w:pPr>
        <w:spacing w:after="120" w:line="360" w:lineRule="auto"/>
        <w:rPr>
          <w:rFonts w:ascii="Century Schoolbook" w:eastAsiaTheme="majorEastAsia" w:hAnsi="Century Schoolbook" w:cstheme="majorBidi"/>
          <w:b/>
          <w:bCs/>
          <w:i/>
          <w:color w:val="1F497D" w:themeColor="text2"/>
          <w:spacing w:val="14"/>
        </w:rPr>
      </w:pPr>
      <w:r>
        <w:br w:type="page"/>
      </w:r>
    </w:p>
    <w:p w14:paraId="5279EC3B" w14:textId="77777777" w:rsidR="00A7176F" w:rsidRDefault="00A7176F" w:rsidP="00A76CF5">
      <w:pPr>
        <w:pStyle w:val="Heading3"/>
        <w:sectPr w:rsidR="00A7176F" w:rsidSect="00F97CD7">
          <w:headerReference w:type="default" r:id="rId31"/>
          <w:pgSz w:w="12240" w:h="15840"/>
          <w:pgMar w:top="1440" w:right="1440" w:bottom="1440" w:left="1440" w:header="0" w:footer="288" w:gutter="0"/>
          <w:cols w:space="720"/>
          <w:docGrid w:linePitch="326"/>
        </w:sectPr>
      </w:pPr>
    </w:p>
    <w:p w14:paraId="4AEC0766" w14:textId="50119661" w:rsidR="00742FA8" w:rsidRDefault="00457306" w:rsidP="00A76CF5">
      <w:pPr>
        <w:pStyle w:val="Heading3"/>
      </w:pPr>
      <w:r>
        <w:rPr>
          <w:noProof/>
        </w:rPr>
        <w:drawing>
          <wp:anchor distT="0" distB="0" distL="114300" distR="114300" simplePos="0" relativeHeight="251672576" behindDoc="0" locked="0" layoutInCell="1" allowOverlap="1" wp14:anchorId="1F64B2C4" wp14:editId="365510F3">
            <wp:simplePos x="0" y="0"/>
            <wp:positionH relativeFrom="column">
              <wp:posOffset>2282043</wp:posOffset>
            </wp:positionH>
            <wp:positionV relativeFrom="paragraph">
              <wp:posOffset>21487</wp:posOffset>
            </wp:positionV>
            <wp:extent cx="3639185" cy="962660"/>
            <wp:effectExtent l="0" t="0" r="0" b="889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778"/>
                    <a:stretch/>
                  </pic:blipFill>
                  <pic:spPr bwMode="auto">
                    <a:xfrm>
                      <a:off x="0" y="0"/>
                      <a:ext cx="3639185" cy="962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Scenario </w:t>
      </w:r>
      <w:r w:rsidR="000F30A1">
        <w:t>3:</w:t>
      </w:r>
      <w:r w:rsidR="0032135B">
        <w:t xml:space="preserve"> </w:t>
      </w:r>
      <w:r w:rsidR="00BB1346">
        <w:t>Refining Cloud</w:t>
      </w:r>
    </w:p>
    <w:p w14:paraId="5BE4C246" w14:textId="25DDFBCC" w:rsidR="00742FA8" w:rsidRDefault="00457306" w:rsidP="00A76CF5">
      <w:pPr>
        <w:pStyle w:val="Heading4"/>
      </w:pPr>
      <w:r>
        <w:t>Initial Conditions</w:t>
      </w:r>
      <w:r w:rsidR="005A31BA">
        <w:t>:</w:t>
      </w:r>
    </w:p>
    <w:p w14:paraId="06059F4C" w14:textId="143833AF" w:rsidR="00E00664" w:rsidRDefault="00E00664" w:rsidP="00946FD0">
      <w:pPr>
        <w:pStyle w:val="BodyBullet1"/>
      </w:pPr>
      <w:r>
        <w:t>A significant portion of the agency infrastructure is already in the cloud.</w:t>
      </w:r>
    </w:p>
    <w:p w14:paraId="20BCE361" w14:textId="62506F0D" w:rsidR="00E00664" w:rsidRDefault="00E00664" w:rsidP="00946FD0">
      <w:pPr>
        <w:pStyle w:val="BodyBullet1"/>
      </w:pPr>
      <w:r>
        <w:t>You will migrate all remaining on-premise cloud capable mission and mission-support applications to another cloud provider.</w:t>
      </w:r>
    </w:p>
    <w:p w14:paraId="05A35098" w14:textId="28F39776" w:rsidR="00E00664" w:rsidRDefault="00E00664" w:rsidP="00946FD0">
      <w:pPr>
        <w:pStyle w:val="BodyBullet1"/>
      </w:pPr>
      <w:r>
        <w:t>Enterprise architecture and IT governance processes are functioning well and application system documentation is both sound and current.</w:t>
      </w:r>
    </w:p>
    <w:p w14:paraId="6557872C" w14:textId="077716E2" w:rsidR="00E00664" w:rsidRDefault="00E00664" w:rsidP="00946FD0">
      <w:pPr>
        <w:pStyle w:val="BodyBullet1"/>
      </w:pPr>
      <w:r>
        <w:t>You are in a medium sized – large agency (110,000</w:t>
      </w:r>
      <w:r w:rsidR="0061759E">
        <w:t xml:space="preserve"> employees</w:t>
      </w:r>
      <w:r>
        <w:t>).</w:t>
      </w:r>
    </w:p>
    <w:p w14:paraId="69E98669" w14:textId="7EB58DA0" w:rsidR="00E00664" w:rsidRDefault="00E00664" w:rsidP="00946FD0">
      <w:pPr>
        <w:pStyle w:val="BodyBullet1"/>
      </w:pPr>
      <w:r>
        <w:t>You are the most experienced deputy CIO with a mission area facing role.</w:t>
      </w:r>
    </w:p>
    <w:p w14:paraId="0FC38DD4" w14:textId="00E65943" w:rsidR="00742FA8" w:rsidRDefault="00E00664" w:rsidP="00946FD0">
      <w:pPr>
        <w:pStyle w:val="BodyBullet1"/>
      </w:pPr>
      <w:r>
        <w:t>The agency has a national presence across the United States.</w:t>
      </w:r>
    </w:p>
    <w:p w14:paraId="5C24AEA5" w14:textId="77777777" w:rsidR="00742FA8" w:rsidRDefault="005A31BA" w:rsidP="00A76CF5">
      <w:pPr>
        <w:pStyle w:val="Heading4"/>
      </w:pPr>
      <w:r>
        <w:t xml:space="preserve">Additional Assumptions </w:t>
      </w:r>
    </w:p>
    <w:p w14:paraId="064CC55D" w14:textId="1FFB0541" w:rsidR="00742FA8" w:rsidRDefault="005A31BA" w:rsidP="00946FD0">
      <w:pPr>
        <w:pStyle w:val="BodyBullet1"/>
      </w:pPr>
      <w:r>
        <w:t>IT system inventory is current</w:t>
      </w:r>
      <w:r w:rsidR="00F6170E">
        <w:t>, comprehensive,</w:t>
      </w:r>
      <w:r>
        <w:t xml:space="preserve"> and </w:t>
      </w:r>
      <w:r w:rsidR="00F6170E">
        <w:t>reliable</w:t>
      </w:r>
      <w:r>
        <w:t>.</w:t>
      </w:r>
    </w:p>
    <w:p w14:paraId="4A3C36F5" w14:textId="6EF4FE55" w:rsidR="00742FA8" w:rsidRDefault="00E00664" w:rsidP="00946FD0">
      <w:pPr>
        <w:pStyle w:val="BodyBullet1"/>
      </w:pPr>
      <w:r w:rsidRPr="00E00664">
        <w:t>Single acquisition and existing support contracts will not be leveraged beyond current levels.</w:t>
      </w:r>
    </w:p>
    <w:p w14:paraId="6092F08B" w14:textId="77777777" w:rsidR="00742FA8" w:rsidRDefault="005A31BA" w:rsidP="00A76CF5">
      <w:pPr>
        <w:pStyle w:val="Heading4"/>
      </w:pPr>
      <w:r>
        <w:t xml:space="preserve">Checklist </w:t>
      </w:r>
    </w:p>
    <w:p w14:paraId="0022E037" w14:textId="77777777" w:rsidR="00742FA8" w:rsidRDefault="005A31BA" w:rsidP="00946FD0">
      <w:pPr>
        <w:pStyle w:val="BodyBullet2"/>
      </w:pPr>
      <w:r>
        <w:t>Data rights and movement conditions are documented as a requirement.</w:t>
      </w:r>
    </w:p>
    <w:p w14:paraId="55004EAF" w14:textId="71D374A0" w:rsidR="00742FA8" w:rsidRDefault="005A31BA" w:rsidP="00946FD0">
      <w:pPr>
        <w:pStyle w:val="BodyBullet2"/>
      </w:pPr>
      <w:r>
        <w:t>Documented support plan during migration</w:t>
      </w:r>
      <w:r w:rsidR="00015ED6">
        <w:t>.</w:t>
      </w:r>
    </w:p>
    <w:p w14:paraId="07D76BF7" w14:textId="76C6BA5D" w:rsidR="00742FA8" w:rsidRDefault="00010735" w:rsidP="00946FD0">
      <w:pPr>
        <w:pStyle w:val="BodyBullet2"/>
      </w:pPr>
      <w:r w:rsidRPr="00010735">
        <w:t>Post-migration application support strategy.</w:t>
      </w:r>
    </w:p>
    <w:p w14:paraId="6E55A32B" w14:textId="77777777" w:rsidR="00742FA8" w:rsidRDefault="005A31BA" w:rsidP="00946FD0">
      <w:pPr>
        <w:pStyle w:val="BodyBullet2"/>
      </w:pPr>
      <w:r>
        <w:t>Post migration support and communications plan for mission area application users.</w:t>
      </w:r>
    </w:p>
    <w:p w14:paraId="3D6D1C71" w14:textId="0FBF5165" w:rsidR="00922C64" w:rsidRDefault="00252207" w:rsidP="00946FD0">
      <w:pPr>
        <w:pStyle w:val="BodyBullet2"/>
      </w:pPr>
      <w:r>
        <w:t xml:space="preserve">Network architecture and connectivity – TIC compliance is met and required common services for integrations are available within required service levels. </w:t>
      </w:r>
    </w:p>
    <w:p w14:paraId="3B902292" w14:textId="238B09CA" w:rsidR="00010735" w:rsidRDefault="00010735" w:rsidP="00946FD0">
      <w:pPr>
        <w:pStyle w:val="BodyBullet2"/>
      </w:pPr>
      <w:r>
        <w:t>Cost planning strategies.</w:t>
      </w:r>
    </w:p>
    <w:p w14:paraId="66618A8D" w14:textId="77777777" w:rsidR="00742FA8" w:rsidRDefault="005A31BA" w:rsidP="00A76CF5">
      <w:pPr>
        <w:pStyle w:val="Heading4"/>
      </w:pPr>
      <w:r>
        <w:t>Key Questions</w:t>
      </w:r>
    </w:p>
    <w:p w14:paraId="5832EB62" w14:textId="66D87771" w:rsidR="00E00664" w:rsidRDefault="00E00664" w:rsidP="00946FD0">
      <w:pPr>
        <w:pStyle w:val="BodyBullet1"/>
      </w:pPr>
      <w:r>
        <w:t>Is your security breach and notification plan thorough, compliant</w:t>
      </w:r>
      <w:r w:rsidR="00457306">
        <w:t>,</w:t>
      </w:r>
      <w:r>
        <w:t xml:space="preserve"> and resilient?</w:t>
      </w:r>
    </w:p>
    <w:p w14:paraId="347CF8ED" w14:textId="07B87B80" w:rsidR="00E00664" w:rsidRDefault="00E00664" w:rsidP="00946FD0">
      <w:pPr>
        <w:pStyle w:val="BodyBullet1"/>
      </w:pPr>
      <w:r>
        <w:t>What are the changes you plan to make to disaster recovery and COOP plans?</w:t>
      </w:r>
    </w:p>
    <w:p w14:paraId="39666C46" w14:textId="4B668330" w:rsidR="00E00664" w:rsidRDefault="00E00664" w:rsidP="00946FD0">
      <w:pPr>
        <w:pStyle w:val="BodyBullet1"/>
      </w:pPr>
      <w:r>
        <w:t>Will your service level definitions accommodate this delivery plan? How will you maintain surveillance and balance competing requirements?</w:t>
      </w:r>
    </w:p>
    <w:p w14:paraId="29547A8B" w14:textId="36C3B04A" w:rsidR="00E00664" w:rsidRDefault="00E00664" w:rsidP="00946FD0">
      <w:pPr>
        <w:pStyle w:val="BodyBullet1"/>
      </w:pPr>
      <w:r>
        <w:t>Are targeted applications cloud-ready?</w:t>
      </w:r>
    </w:p>
    <w:p w14:paraId="28EDFA6B" w14:textId="0C4ED749" w:rsidR="00E00664" w:rsidRDefault="00E00664" w:rsidP="00946FD0">
      <w:pPr>
        <w:pStyle w:val="BodyBullet1"/>
      </w:pPr>
      <w:r>
        <w:t>Do you have a requirements definition that clearly defines duties of the provider relative to duties of the government?</w:t>
      </w:r>
    </w:p>
    <w:p w14:paraId="68309A61" w14:textId="512107AF" w:rsidR="00BC21A3" w:rsidRDefault="00BC21A3" w:rsidP="00946FD0">
      <w:pPr>
        <w:pStyle w:val="BodyBullet1"/>
      </w:pPr>
      <w:r>
        <w:t xml:space="preserve">Do you have a full understanding of affected software licensing that will move to the cloud? </w:t>
      </w:r>
    </w:p>
    <w:p w14:paraId="4CAC9F21" w14:textId="71DDFEFF" w:rsidR="00E00664" w:rsidRDefault="00E00664" w:rsidP="00946FD0">
      <w:pPr>
        <w:pStyle w:val="BodyBullet1"/>
      </w:pPr>
      <w:r>
        <w:t>Are your administration rights, delegation</w:t>
      </w:r>
      <w:r w:rsidR="00457306">
        <w:t>,</w:t>
      </w:r>
      <w:r>
        <w:t xml:space="preserve"> and credential issuing plans sound?</w:t>
      </w:r>
    </w:p>
    <w:p w14:paraId="1561A10A" w14:textId="3C0A74E8" w:rsidR="00E00664" w:rsidRDefault="00E00664" w:rsidP="00946FD0">
      <w:pPr>
        <w:pStyle w:val="BodyBullet1"/>
      </w:pPr>
      <w:r>
        <w:t>Do you have the governance in place to manage provisioning (ordering) and de-provisioning of cloud services?</w:t>
      </w:r>
    </w:p>
    <w:p w14:paraId="5D6BAD43" w14:textId="7833ADA9" w:rsidR="00E00664" w:rsidRDefault="00E00664" w:rsidP="00946FD0">
      <w:pPr>
        <w:pStyle w:val="BodyBullet1"/>
      </w:pPr>
      <w:r>
        <w:t>Do you have a requirements definition that clearly defines duties of the provider relative to duties of the government?</w:t>
      </w:r>
    </w:p>
    <w:p w14:paraId="75697582" w14:textId="084AE099" w:rsidR="00742FA8" w:rsidRDefault="00E00664" w:rsidP="00946FD0">
      <w:pPr>
        <w:pStyle w:val="BodyBullet1"/>
      </w:pPr>
      <w:r>
        <w:t>Do you have a comprehensive set of service level agreement requirements? Does it include acceptable application performance metrics?</w:t>
      </w:r>
      <w:r w:rsidR="00534845">
        <w:t xml:space="preserve"> </w:t>
      </w:r>
    </w:p>
    <w:p w14:paraId="69CDF95B" w14:textId="77777777" w:rsidR="00742FA8" w:rsidRDefault="005A31BA" w:rsidP="00A76CF5">
      <w:pPr>
        <w:pStyle w:val="Heading4"/>
      </w:pPr>
      <w:r>
        <w:t>Discussion</w:t>
      </w:r>
    </w:p>
    <w:p w14:paraId="1DE3FF16" w14:textId="77777777" w:rsidR="00742FA8" w:rsidRPr="001A099D" w:rsidRDefault="005A31BA" w:rsidP="00A76CF5">
      <w:pPr>
        <w:pStyle w:val="Heading5"/>
      </w:pPr>
      <w:r w:rsidRPr="001A099D">
        <w:t>Migration Support</w:t>
      </w:r>
    </w:p>
    <w:p w14:paraId="4EBDBF77" w14:textId="73C3F676" w:rsidR="00742FA8" w:rsidRDefault="005A31BA">
      <w:r>
        <w:t>The essence of this type of project scenario is getting applications out of the legacy on-premise data center and to the cloud.</w:t>
      </w:r>
      <w:r w:rsidR="00534845">
        <w:t xml:space="preserve"> </w:t>
      </w:r>
      <w:r>
        <w:t xml:space="preserve">As the application inventory is complete, the scope of cloud-ready applications included in this migration effort should be well defined as are the major integration and dependency hurdles, all of which can be provided in the solicitation to describe the as-is state of the agency enterprise. As a separate CSP is specified for hosting these applications to provide enterprise resiliency and flexibility, the new environment will need configuration planning and architectural standards development and specification. This may be straightforward on the one hand due to the “green field” nature of a new CSP while requiring additional effort to ensure common services across the enterprise such as </w:t>
      </w:r>
      <w:r w:rsidR="009A13F4">
        <w:t>identity, credential, and</w:t>
      </w:r>
      <w:r w:rsidR="00A644B9">
        <w:t xml:space="preserve"> access management (</w:t>
      </w:r>
      <w:r>
        <w:t>ICAM</w:t>
      </w:r>
      <w:r w:rsidR="00A644B9">
        <w:t>)</w:t>
      </w:r>
      <w:r>
        <w:t xml:space="preserve"> and enterprise resource monitoring are available and uniformly instantiated. Likely an agency of this size will have some IT assets already hosted in the target CSP but they are expected to be isolated and inconsequential relative to this scope of this project scenario. Further, the national presence of the agency may warrant deployment on multiple regions within the CSP for performance purposes depending on the nature of the applications. </w:t>
      </w:r>
    </w:p>
    <w:p w14:paraId="60671537" w14:textId="344BCF1D" w:rsidR="00742FA8" w:rsidRDefault="005A31BA">
      <w:r>
        <w:t xml:space="preserve">Leveraging repeatable processes that are well integrated to agency configuration management and governance processes will be </w:t>
      </w:r>
      <w:r w:rsidR="00741375">
        <w:t>key drivers for success since the overall scheduling of the transition of individual applications can be become</w:t>
      </w:r>
      <w:r>
        <w:t xml:space="preserve"> </w:t>
      </w:r>
      <w:r w:rsidR="00741375">
        <w:t>quite</w:t>
      </w:r>
      <w:r>
        <w:t xml:space="preserve"> a complex challenge based on the interdependencies between applications.</w:t>
      </w:r>
      <w:r w:rsidR="00534845">
        <w:t xml:space="preserve"> </w:t>
      </w:r>
      <w:r>
        <w:t>These challenges may be further complicated by the extended multi-CSP architecture in place.</w:t>
      </w:r>
      <w:r w:rsidR="00534845">
        <w:t xml:space="preserve"> </w:t>
      </w:r>
      <w:r>
        <w:t>As the number of applications grows expanding the project scope and likely manifesting interdependency driven scheduling challenges, the contract structure may necessitate phased implementation approaches with multiple milestones breaking the project into lower risk chunks.</w:t>
      </w:r>
      <w:r w:rsidR="00534845">
        <w:t xml:space="preserve"> </w:t>
      </w:r>
      <w:r>
        <w:t>As always</w:t>
      </w:r>
      <w:r w:rsidR="00015ED6">
        <w:t>,</w:t>
      </w:r>
      <w:r>
        <w:t xml:space="preserve"> the goal is to balance between execution flexibility and effectively holding contractors accountable for meaningful performance in support of mission.</w:t>
      </w:r>
    </w:p>
    <w:p w14:paraId="6DA5C8C7" w14:textId="57E9212D" w:rsidR="00742FA8" w:rsidRDefault="005A31BA">
      <w:r>
        <w:t>Even though the targeted applications are cloud ready, security requirements for each application will need to be considered as part of the migration to the cloud hosting environment. This can include and may necessitate internal application component security analysis. Migration activities to consider should include data preparation in addition to the interface and service transition planning steps.</w:t>
      </w:r>
      <w:r w:rsidR="00534845">
        <w:t xml:space="preserve"> </w:t>
      </w:r>
      <w:r>
        <w:t>Cutover planning combined with go-live support are key considerations along with an appropriate back out or rollback planning must be anticipated and fully prepared for when (not if) things go wrong.</w:t>
      </w:r>
    </w:p>
    <w:p w14:paraId="0C14666B" w14:textId="56035156" w:rsidR="00742FA8" w:rsidRDefault="005A31BA">
      <w:r>
        <w:t>Consideration of a cloud management platform implementation capable of supporting the multiple clouds deployed across the enterprise is appropriate if one is already in place.</w:t>
      </w:r>
      <w:r w:rsidR="00534845">
        <w:t xml:space="preserve"> </w:t>
      </w:r>
      <w:r>
        <w:t>However, implementation of a successful cloud management platform may be better served as a separate project to enhance opportunities for solution flexibility rather than tacking it onto this acquisition.</w:t>
      </w:r>
      <w:r w:rsidR="00534845">
        <w:t xml:space="preserve"> </w:t>
      </w:r>
    </w:p>
    <w:p w14:paraId="26AB426C" w14:textId="3B72C3B7" w:rsidR="00651A49" w:rsidRDefault="00651A49">
      <w:r>
        <w:t xml:space="preserve">The comprehensive inclusion of </w:t>
      </w:r>
      <w:r w:rsidR="000B13BC">
        <w:t>relevant specifications for the as-is environment and agency architectural models and goals for the to-be environment are core elements to support successful and competitive contractor proposal responses</w:t>
      </w:r>
      <w:r w:rsidR="00D85030">
        <w:t xml:space="preserve">. </w:t>
      </w:r>
      <w:r w:rsidR="007203C0">
        <w:t>Depending on the number of applications targeted for migration, separate CLINs could be considered for each application or groups of applications</w:t>
      </w:r>
      <w:r w:rsidR="00460B75">
        <w:t xml:space="preserve"> which</w:t>
      </w:r>
      <w:r w:rsidR="007203C0">
        <w:t xml:space="preserve"> can provide flexibility in execution and funding for the government</w:t>
      </w:r>
      <w:r w:rsidR="00460B75">
        <w:t xml:space="preserve">. Further, given a large number of applications, </w:t>
      </w:r>
      <w:r w:rsidR="008451D9">
        <w:t xml:space="preserve">a separate </w:t>
      </w:r>
      <w:r w:rsidR="008A7980">
        <w:t>CLIN</w:t>
      </w:r>
      <w:r w:rsidR="00460B75">
        <w:t xml:space="preserve"> could be designed </w:t>
      </w:r>
      <w:r w:rsidR="008451D9">
        <w:t xml:space="preserve">specifically </w:t>
      </w:r>
      <w:r w:rsidR="00460B75">
        <w:t>for scheduling and project management functions</w:t>
      </w:r>
      <w:r w:rsidR="008451D9">
        <w:t>.</w:t>
      </w:r>
    </w:p>
    <w:p w14:paraId="05A9CE8C" w14:textId="77777777" w:rsidR="00742FA8" w:rsidRPr="001A099D" w:rsidRDefault="005A31BA" w:rsidP="00A76CF5">
      <w:pPr>
        <w:pStyle w:val="Heading5"/>
      </w:pPr>
      <w:r w:rsidRPr="001A099D">
        <w:t>CSP</w:t>
      </w:r>
    </w:p>
    <w:p w14:paraId="5E6582C3" w14:textId="71D3E240" w:rsidR="00742FA8" w:rsidRDefault="005A31BA">
      <w:r>
        <w:t>This scenario represents a novel case where</w:t>
      </w:r>
      <w:r w:rsidR="0061759E">
        <w:t>,</w:t>
      </w:r>
      <w:r>
        <w:t xml:space="preserve"> rather than justifying a particular CSP</w:t>
      </w:r>
      <w:r>
        <w:rPr>
          <w:vertAlign w:val="superscript"/>
        </w:rPr>
        <w:footnoteReference w:id="5"/>
      </w:r>
      <w:r>
        <w:t xml:space="preserve"> be used for hosting, a specific provider is </w:t>
      </w:r>
      <w:r w:rsidR="0061759E">
        <w:t xml:space="preserve">purposely </w:t>
      </w:r>
      <w:r>
        <w:t>not to be leveraged</w:t>
      </w:r>
      <w:r w:rsidR="009370E9">
        <w:t xml:space="preserve"> in order</w:t>
      </w:r>
      <w:r>
        <w:t xml:space="preserve"> to specifically provide for vendor diversity to enhance resiliency.</w:t>
      </w:r>
      <w:r w:rsidR="00534845">
        <w:t xml:space="preserve"> </w:t>
      </w:r>
      <w:r>
        <w:t xml:space="preserve">The agency’s national presence does not itself necessitate a CSP with particular attributes such as multiple regions for potentially more localized resource deployment but does increase the likelihood that some application or application interaction characteristics exist that may. </w:t>
      </w:r>
    </w:p>
    <w:p w14:paraId="77564BA0" w14:textId="23D5C33A" w:rsidR="00742FA8" w:rsidRDefault="005A31BA" w:rsidP="00D62F92">
      <w:r>
        <w:t>Consistent with all scenarios, it is important to provide the best available description of hosting needs to ensure the workloads will function effectively and that the CSP supports any known specialized performance characteristics.</w:t>
      </w:r>
      <w:r w:rsidR="00534845">
        <w:t xml:space="preserve"> </w:t>
      </w:r>
      <w:r>
        <w:t xml:space="preserve">Standardized resource consumption estimates will provide both an overall scope of </w:t>
      </w:r>
      <w:r w:rsidRPr="00946FD0">
        <w:t>effort to contractors and a potential path to price evaluation within this component when needed.</w:t>
      </w:r>
      <w:r w:rsidR="00534845" w:rsidRPr="00946FD0">
        <w:t xml:space="preserve"> </w:t>
      </w:r>
      <w:r w:rsidRPr="00946FD0">
        <w:t>Appropriate CSP resource consumption metrics</w:t>
      </w:r>
      <w:r w:rsidR="00946FD0" w:rsidRPr="00946FD0">
        <w:t xml:space="preserve"> that should be specified</w:t>
      </w:r>
      <w:r w:rsidRPr="00946FD0">
        <w:t xml:space="preserve"> will vary by situation</w:t>
      </w:r>
      <w:r w:rsidR="00CB620A" w:rsidRPr="00946FD0">
        <w:t>,</w:t>
      </w:r>
      <w:r w:rsidRPr="00946FD0">
        <w:t xml:space="preserve"> but can include overall numbers of, VMs with </w:t>
      </w:r>
      <w:r w:rsidR="009A13F4" w:rsidRPr="00946FD0">
        <w:t xml:space="preserve">levels of </w:t>
      </w:r>
      <w:r w:rsidR="00CB620A" w:rsidRPr="00946FD0">
        <w:t xml:space="preserve">RAM and vCPU cores and </w:t>
      </w:r>
      <w:r w:rsidRPr="00946FD0">
        <w:t>total required block storage, among other resources</w:t>
      </w:r>
      <w:r w:rsidR="00946FD0">
        <w:t xml:space="preserve"> for example</w:t>
      </w:r>
      <w:r w:rsidRPr="00946FD0">
        <w:t>.</w:t>
      </w:r>
    </w:p>
    <w:p w14:paraId="44A042B2" w14:textId="6C5ECCB5" w:rsidR="00742FA8" w:rsidRDefault="008A7980" w:rsidP="00D62F92">
      <w:r>
        <w:t xml:space="preserve">PMs should </w:t>
      </w:r>
      <w:r w:rsidR="005A31BA">
        <w:t>anticipate and plan for future expansion of required CSP capacity but do not commit to requirements beyond current needs.</w:t>
      </w:r>
      <w:r w:rsidR="00534845">
        <w:t xml:space="preserve"> </w:t>
      </w:r>
      <w:r w:rsidR="005A31BA">
        <w:t xml:space="preserve">The goal is to build in flexibility for anticipated and potential increases, and as appropriate decreases, in </w:t>
      </w:r>
      <w:r w:rsidR="00D1550C">
        <w:t xml:space="preserve">cloud service </w:t>
      </w:r>
      <w:r w:rsidR="00DC6AB1">
        <w:t>consumption</w:t>
      </w:r>
      <w:r w:rsidR="00D1550C">
        <w:t xml:space="preserve"> </w:t>
      </w:r>
      <w:r w:rsidR="00DC6AB1">
        <w:t>based</w:t>
      </w:r>
      <w:r w:rsidR="005A31BA">
        <w:t xml:space="preserve"> on reasonable assumptions.</w:t>
      </w:r>
      <w:r w:rsidR="00534845">
        <w:t xml:space="preserve"> </w:t>
      </w:r>
      <w:r w:rsidR="005A31BA">
        <w:t>Optional CLINs can be valuable tools to achieve this flexibility.</w:t>
      </w:r>
    </w:p>
    <w:p w14:paraId="532B6D05" w14:textId="77777777" w:rsidR="00742FA8" w:rsidRPr="001A099D" w:rsidRDefault="005A31BA" w:rsidP="00A76CF5">
      <w:pPr>
        <w:pStyle w:val="Heading5"/>
      </w:pPr>
      <w:r w:rsidRPr="001A099D">
        <w:t>Contract Vehicle Options</w:t>
      </w:r>
    </w:p>
    <w:p w14:paraId="44024829" w14:textId="301089BA" w:rsidR="00742FA8" w:rsidRDefault="005A31BA" w:rsidP="00D62F92">
      <w:r>
        <w:t xml:space="preserve">This scenario potentially presents the largest pool of contracting vehicle options to meet the basic requirements of providing significant hosting capacity combined with considerable IT support labor to </w:t>
      </w:r>
      <w:r w:rsidR="008E44D7">
        <w:t xml:space="preserve">implement </w:t>
      </w:r>
      <w:r>
        <w:t>the transition.</w:t>
      </w:r>
      <w:r w:rsidR="00534845">
        <w:t xml:space="preserve"> </w:t>
      </w:r>
      <w:r>
        <w:t xml:space="preserve">The biggest project specific factor that will </w:t>
      </w:r>
      <w:r w:rsidR="00DD3A01">
        <w:t xml:space="preserve">influence </w:t>
      </w:r>
      <w:r>
        <w:t xml:space="preserve">the available choices will </w:t>
      </w:r>
      <w:r w:rsidR="00DD3A01">
        <w:t xml:space="preserve">be the number of </w:t>
      </w:r>
      <w:r>
        <w:t>systems moving and their interdependencies as these factors will increase the overall amount of IT services support involved in the overall acquisition.</w:t>
      </w:r>
      <w:r w:rsidR="00534845">
        <w:t xml:space="preserve"> </w:t>
      </w:r>
      <w:r>
        <w:t xml:space="preserve">Additionally, as this complexity increases, actual system transition execution phases may be introduced </w:t>
      </w:r>
      <w:r w:rsidR="008A7980">
        <w:t xml:space="preserve">thereby </w:t>
      </w:r>
      <w:r>
        <w:t>lengthening overall implementation timelines necessitating more sophisticated contract structures.</w:t>
      </w:r>
      <w:r w:rsidR="00534845">
        <w:t xml:space="preserve"> </w:t>
      </w:r>
      <w:r>
        <w:t>These higher complexity enterprise level projects will favor the general</w:t>
      </w:r>
      <w:r w:rsidR="00DD3A01">
        <w:t>-</w:t>
      </w:r>
      <w:r>
        <w:t>purpose IT solutions-</w:t>
      </w:r>
      <w:r w:rsidR="006B259C">
        <w:t>based contracts</w:t>
      </w:r>
      <w:r>
        <w:t xml:space="preserve"> (e.g. Alliant, CIO-SP3) over the </w:t>
      </w:r>
      <w:r w:rsidR="007D2AA1">
        <w:t>delivery-order</w:t>
      </w:r>
      <w:r>
        <w:t xml:space="preserve"> based GWACs (e.g.</w:t>
      </w:r>
      <w:r w:rsidR="008A7980">
        <w:t>,</w:t>
      </w:r>
      <w:r>
        <w:t xml:space="preserve"> CIO-CS, NASA SEWP).</w:t>
      </w:r>
      <w:r w:rsidR="00534845">
        <w:t xml:space="preserve"> </w:t>
      </w:r>
      <w:r>
        <w:t>Cloud-focused contracts including transition support services such as DOI’s FCHS or an available agency-specific option can be considered in addition to the utility belt of IT contracting, Schedule 70.</w:t>
      </w:r>
    </w:p>
    <w:p w14:paraId="553526C4" w14:textId="77777777" w:rsidR="000F30A1" w:rsidRDefault="000F30A1">
      <w:pPr>
        <w:spacing w:after="120" w:line="360" w:lineRule="auto"/>
        <w:rPr>
          <w:rFonts w:ascii="Century Schoolbook" w:eastAsiaTheme="majorEastAsia" w:hAnsi="Century Schoolbook" w:cstheme="majorBidi"/>
          <w:b/>
          <w:bCs/>
          <w:i/>
          <w:color w:val="1F497D" w:themeColor="text2"/>
          <w:spacing w:val="14"/>
        </w:rPr>
      </w:pPr>
      <w:r>
        <w:br w:type="page"/>
      </w:r>
    </w:p>
    <w:p w14:paraId="01FAA889" w14:textId="77777777" w:rsidR="00A7176F" w:rsidRDefault="00A7176F" w:rsidP="00A76CF5">
      <w:pPr>
        <w:pStyle w:val="Heading3"/>
        <w:sectPr w:rsidR="00A7176F" w:rsidSect="00F97CD7">
          <w:headerReference w:type="default" r:id="rId33"/>
          <w:pgSz w:w="12240" w:h="15840"/>
          <w:pgMar w:top="1440" w:right="1440" w:bottom="1440" w:left="1440" w:header="0" w:footer="288" w:gutter="0"/>
          <w:cols w:space="720"/>
          <w:docGrid w:linePitch="326"/>
        </w:sectPr>
      </w:pPr>
    </w:p>
    <w:p w14:paraId="26972397" w14:textId="61D3EAFD" w:rsidR="00742FA8" w:rsidRDefault="00946FD0" w:rsidP="00A76CF5">
      <w:pPr>
        <w:pStyle w:val="Heading3"/>
      </w:pPr>
      <w:r>
        <w:rPr>
          <w:noProof/>
        </w:rPr>
        <w:drawing>
          <wp:anchor distT="0" distB="0" distL="114300" distR="114300" simplePos="0" relativeHeight="251691008" behindDoc="0" locked="0" layoutInCell="1" allowOverlap="1" wp14:anchorId="33B0D14E" wp14:editId="6B175568">
            <wp:simplePos x="0" y="0"/>
            <wp:positionH relativeFrom="column">
              <wp:posOffset>2419350</wp:posOffset>
            </wp:positionH>
            <wp:positionV relativeFrom="paragraph">
              <wp:posOffset>19050</wp:posOffset>
            </wp:positionV>
            <wp:extent cx="3518535" cy="934085"/>
            <wp:effectExtent l="0" t="0" r="5715" b="0"/>
            <wp:wrapSquare wrapText="bothSides"/>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4152"/>
                    <a:stretch/>
                  </pic:blipFill>
                  <pic:spPr bwMode="auto">
                    <a:xfrm>
                      <a:off x="0" y="0"/>
                      <a:ext cx="3518535" cy="934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Scenario</w:t>
      </w:r>
      <w:r w:rsidR="000F30A1">
        <w:t xml:space="preserve"> 4:</w:t>
      </w:r>
      <w:r w:rsidR="0032135B">
        <w:t xml:space="preserve"> </w:t>
      </w:r>
      <w:r w:rsidR="00BB1346">
        <w:t>Tuning Cloud</w:t>
      </w:r>
    </w:p>
    <w:p w14:paraId="0F3D1167" w14:textId="5F97E909" w:rsidR="00742FA8" w:rsidRDefault="00946FD0" w:rsidP="00A76CF5">
      <w:pPr>
        <w:pStyle w:val="Heading4"/>
      </w:pPr>
      <w:r>
        <w:t>Initial Conditions</w:t>
      </w:r>
      <w:r w:rsidR="005A31BA">
        <w:t>:</w:t>
      </w:r>
    </w:p>
    <w:p w14:paraId="05E02052" w14:textId="0659C690" w:rsidR="00E00664" w:rsidRPr="00946FD0" w:rsidRDefault="00E00664" w:rsidP="00946FD0">
      <w:pPr>
        <w:pStyle w:val="BodyBullet1"/>
      </w:pPr>
      <w:r w:rsidRPr="00946FD0">
        <w:t>You have a rationalized and working cloud strategy that includes all cloud types.</w:t>
      </w:r>
    </w:p>
    <w:p w14:paraId="0244A30A" w14:textId="7D3AB274" w:rsidR="00E00664" w:rsidRPr="00946FD0" w:rsidRDefault="00E00664" w:rsidP="00946FD0">
      <w:pPr>
        <w:pStyle w:val="BodyBullet1"/>
      </w:pPr>
      <w:r w:rsidRPr="00946FD0">
        <w:t>Recent experience indicates a sensitive mission area requires very high service levels and support responsiveness (</w:t>
      </w:r>
      <w:r w:rsidR="00946FD0">
        <w:t>r</w:t>
      </w:r>
      <w:r w:rsidRPr="00946FD0">
        <w:t>elative to the remainder of the enterprise).</w:t>
      </w:r>
    </w:p>
    <w:p w14:paraId="1AB914DA" w14:textId="583F4F6E" w:rsidR="00E00664" w:rsidRPr="00946FD0" w:rsidRDefault="00E00664" w:rsidP="00946FD0">
      <w:pPr>
        <w:pStyle w:val="BodyBullet1"/>
      </w:pPr>
      <w:r w:rsidRPr="00946FD0">
        <w:t>The agency has an active, responsive</w:t>
      </w:r>
      <w:r w:rsidR="00946FD0">
        <w:t>,</w:t>
      </w:r>
      <w:r w:rsidRPr="00946FD0">
        <w:t xml:space="preserve"> and accurate enterprise architecture function.</w:t>
      </w:r>
    </w:p>
    <w:p w14:paraId="4961A48B" w14:textId="3BFF9392" w:rsidR="00E00664" w:rsidRPr="00946FD0" w:rsidRDefault="00E00664" w:rsidP="00946FD0">
      <w:pPr>
        <w:pStyle w:val="BodyBullet1"/>
      </w:pPr>
      <w:r w:rsidRPr="00946FD0">
        <w:t>You are in a large agency (175,000</w:t>
      </w:r>
      <w:r w:rsidR="0061759E" w:rsidRPr="00946FD0">
        <w:t xml:space="preserve"> employees</w:t>
      </w:r>
      <w:r w:rsidRPr="00946FD0">
        <w:t>).</w:t>
      </w:r>
    </w:p>
    <w:p w14:paraId="46BDE6FB" w14:textId="68E4A3CB" w:rsidR="00742FA8" w:rsidRPr="00946FD0" w:rsidRDefault="00E00664" w:rsidP="00946FD0">
      <w:pPr>
        <w:pStyle w:val="BodyBullet1"/>
      </w:pPr>
      <w:r w:rsidRPr="00946FD0">
        <w:t>There is a single primary CSP and your contract ends in 21 months.</w:t>
      </w:r>
      <w:r w:rsidR="005A31BA" w:rsidRPr="00946FD0">
        <w:t xml:space="preserve"> </w:t>
      </w:r>
    </w:p>
    <w:p w14:paraId="7E530A1D" w14:textId="68FE1E5A" w:rsidR="00742FA8" w:rsidRDefault="005A31BA" w:rsidP="00A76CF5">
      <w:pPr>
        <w:pStyle w:val="Heading4"/>
      </w:pPr>
      <w:r>
        <w:t xml:space="preserve">Additional Assumptions </w:t>
      </w:r>
    </w:p>
    <w:p w14:paraId="52B8000E" w14:textId="77777777" w:rsidR="00742FA8" w:rsidRDefault="005A31BA" w:rsidP="00946FD0">
      <w:pPr>
        <w:pStyle w:val="BodyBullet1"/>
      </w:pPr>
      <w:r>
        <w:t>The performance of the current CSP is marginally acceptable.</w:t>
      </w:r>
    </w:p>
    <w:p w14:paraId="75F6123E" w14:textId="77777777" w:rsidR="00742FA8" w:rsidRDefault="005A31BA" w:rsidP="00946FD0">
      <w:pPr>
        <w:pStyle w:val="BodyBullet1"/>
      </w:pPr>
      <w:r>
        <w:t>IT professional services support across the IT portfolio is in place and functioning well.</w:t>
      </w:r>
    </w:p>
    <w:p w14:paraId="7C26DB9E" w14:textId="77DF53C2" w:rsidR="00742FA8" w:rsidRDefault="005A31BA" w:rsidP="00A76CF5">
      <w:pPr>
        <w:pStyle w:val="Heading4"/>
      </w:pPr>
      <w:r>
        <w:t xml:space="preserve">Checklist </w:t>
      </w:r>
    </w:p>
    <w:p w14:paraId="79C4296A" w14:textId="77777777" w:rsidR="00742FA8" w:rsidRPr="00946FD0" w:rsidRDefault="005A31BA" w:rsidP="00946FD0">
      <w:pPr>
        <w:pStyle w:val="BodyBullet2"/>
      </w:pPr>
      <w:r w:rsidRPr="00946FD0">
        <w:t>Documented lessons learned in the existing arrangement.</w:t>
      </w:r>
    </w:p>
    <w:p w14:paraId="7575D2CC" w14:textId="77777777" w:rsidR="00742FA8" w:rsidRPr="00946FD0" w:rsidRDefault="005A31BA" w:rsidP="00946FD0">
      <w:pPr>
        <w:pStyle w:val="BodyBullet2"/>
      </w:pPr>
      <w:r w:rsidRPr="00946FD0">
        <w:t>Cost planning strategies.</w:t>
      </w:r>
    </w:p>
    <w:p w14:paraId="4424CFB9" w14:textId="77777777" w:rsidR="00742FA8" w:rsidRPr="00946FD0" w:rsidRDefault="005A31BA" w:rsidP="00946FD0">
      <w:pPr>
        <w:pStyle w:val="BodyBullet2"/>
      </w:pPr>
      <w:r w:rsidRPr="00946FD0">
        <w:t>Data rights and movement conditions are documented as a requirement.</w:t>
      </w:r>
    </w:p>
    <w:p w14:paraId="2803608D" w14:textId="69EA5EC7" w:rsidR="00010735" w:rsidRPr="00946FD0" w:rsidRDefault="00010735" w:rsidP="00946FD0">
      <w:pPr>
        <w:pStyle w:val="BodyBullet2"/>
      </w:pPr>
      <w:r w:rsidRPr="00946FD0">
        <w:t>Commercial cloud service deployment operations and process guide.</w:t>
      </w:r>
    </w:p>
    <w:p w14:paraId="5F42D727" w14:textId="05806D8E" w:rsidR="00010735" w:rsidRPr="00946FD0" w:rsidRDefault="00010735" w:rsidP="00946FD0">
      <w:pPr>
        <w:pStyle w:val="BodyBullet2"/>
      </w:pPr>
      <w:r w:rsidRPr="00946FD0">
        <w:t>Thorough market research for CSPs and their reseller channels.</w:t>
      </w:r>
    </w:p>
    <w:p w14:paraId="5341D089" w14:textId="77777777" w:rsidR="00742FA8" w:rsidRDefault="005A31BA" w:rsidP="00A76CF5">
      <w:pPr>
        <w:pStyle w:val="Heading4"/>
      </w:pPr>
      <w:r>
        <w:t>Key Questions</w:t>
      </w:r>
    </w:p>
    <w:p w14:paraId="5C2D0168" w14:textId="2EE926C6" w:rsidR="00E00664" w:rsidRDefault="00E00664" w:rsidP="00946FD0">
      <w:pPr>
        <w:pStyle w:val="BodyBullet1"/>
      </w:pPr>
      <w:r>
        <w:t>What are the changes you plan to make to disaster recovery and COOP plans?</w:t>
      </w:r>
    </w:p>
    <w:p w14:paraId="459BC953" w14:textId="41814CE0" w:rsidR="00E00664" w:rsidRDefault="00E00664" w:rsidP="00946FD0">
      <w:pPr>
        <w:pStyle w:val="BodyBullet1"/>
      </w:pPr>
      <w:r>
        <w:t>What service levels do you need that are different from those in use?</w:t>
      </w:r>
    </w:p>
    <w:p w14:paraId="04874721" w14:textId="575A7778" w:rsidR="00E00664" w:rsidRDefault="00E00664" w:rsidP="00946FD0">
      <w:pPr>
        <w:pStyle w:val="BodyBullet1"/>
      </w:pPr>
      <w:r>
        <w:t>What requirements or contract weaknesses exist in the current arrangement that lim</w:t>
      </w:r>
      <w:r w:rsidR="00D1550C">
        <w:t>it achieving service that would</w:t>
      </w:r>
      <w:r>
        <w:t xml:space="preserve"> </w:t>
      </w:r>
      <w:r w:rsidR="008A7980">
        <w:t>go beyond basic expectations?</w:t>
      </w:r>
    </w:p>
    <w:p w14:paraId="54C06586" w14:textId="44A62A22" w:rsidR="00E00664" w:rsidRDefault="00E00664" w:rsidP="00946FD0">
      <w:pPr>
        <w:pStyle w:val="BodyBullet1"/>
      </w:pPr>
      <w:r>
        <w:t xml:space="preserve">Do you have the governance </w:t>
      </w:r>
      <w:r w:rsidR="00D1550C">
        <w:t>in place to manage provisioning</w:t>
      </w:r>
      <w:r>
        <w:t xml:space="preserve"> and de-provisioning of cloud services?</w:t>
      </w:r>
    </w:p>
    <w:p w14:paraId="72CF5638" w14:textId="7201693E" w:rsidR="00742FA8" w:rsidRDefault="00E00664" w:rsidP="00946FD0">
      <w:pPr>
        <w:pStyle w:val="BodyBullet1"/>
      </w:pPr>
      <w:r>
        <w:t>Are your financial and deployment management processes working well and ready to transition to support a new enterprise contract?</w:t>
      </w:r>
    </w:p>
    <w:p w14:paraId="172B9A28" w14:textId="77777777" w:rsidR="00742FA8" w:rsidRDefault="005A31BA" w:rsidP="00A76CF5">
      <w:pPr>
        <w:pStyle w:val="Heading4"/>
      </w:pPr>
      <w:r>
        <w:t>Discussion</w:t>
      </w:r>
    </w:p>
    <w:p w14:paraId="7EC5B516" w14:textId="77777777" w:rsidR="00742FA8" w:rsidRPr="001A099D" w:rsidRDefault="005A31BA" w:rsidP="00A76CF5">
      <w:pPr>
        <w:pStyle w:val="Heading5"/>
      </w:pPr>
      <w:r w:rsidRPr="001A099D">
        <w:t>CSP</w:t>
      </w:r>
    </w:p>
    <w:p w14:paraId="01C114EB" w14:textId="6AB27BDF" w:rsidR="00742FA8" w:rsidRDefault="005A31BA">
      <w:r>
        <w:t xml:space="preserve">Being this far along in the cloud journey, the only focus for the acquisition will be obtaining the cloud </w:t>
      </w:r>
      <w:r w:rsidR="00846F10">
        <w:t xml:space="preserve">computing </w:t>
      </w:r>
      <w:r>
        <w:t>services directly.</w:t>
      </w:r>
      <w:r w:rsidR="00534845">
        <w:t xml:space="preserve"> </w:t>
      </w:r>
      <w:r>
        <w:t>A key question and concern at this point will be whether there are requirements for a specific CSP based on the existing system landscape.</w:t>
      </w:r>
      <w:r w:rsidR="00534845">
        <w:t xml:space="preserve"> </w:t>
      </w:r>
      <w:r>
        <w:t>Specifying a particular CSP will typically require justification as part of the solicitation.</w:t>
      </w:r>
      <w:r w:rsidR="00534845">
        <w:t xml:space="preserve"> </w:t>
      </w:r>
      <w:r>
        <w:t>The type of justification may vary based on whether the CSP has multiple resellers (brand name</w:t>
      </w:r>
      <w:r w:rsidR="008B48F3">
        <w:t xml:space="preserve"> or limited source</w:t>
      </w:r>
      <w:r>
        <w:t>) or if the CSP is directly contracting with the Government (sole source). Conversely, in a case where cross provider resiliency is required beyond regional workload distribution within the same CSP, it may be necessary to specify your current providers as a way to exclude them from proposal within the goals of the acquisition.</w:t>
      </w:r>
    </w:p>
    <w:p w14:paraId="674C1BAA" w14:textId="064C01D0" w:rsidR="00742FA8" w:rsidRDefault="005A31BA">
      <w:r>
        <w:t>In the situation where the hosting requirements allow for more generic resources, competition can be enhanced since a range of CSP solutions can be brought forward.</w:t>
      </w:r>
      <w:r w:rsidR="00534845">
        <w:t xml:space="preserve"> </w:t>
      </w:r>
      <w:r>
        <w:t>A critical success component will be describing the hosting needs sufficiently to be able to ensure the workloads will function effectively and allow for an effective comparison between bids.</w:t>
      </w:r>
      <w:r w:rsidR="00534845">
        <w:t xml:space="preserve"> </w:t>
      </w:r>
      <w:r>
        <w:t>Appropriate metrics will vary</w:t>
      </w:r>
      <w:r w:rsidR="008A7980">
        <w:t>,</w:t>
      </w:r>
      <w:r>
        <w:t xml:space="preserve"> of course</w:t>
      </w:r>
      <w:r w:rsidR="008A7980">
        <w:t>,</w:t>
      </w:r>
      <w:r>
        <w:t xml:space="preserve"> by workload but it can be very helpful to describe the range by percentage of, for example, VM’s by RAM or vCPU cores, and/or IOPS and throughput of storage or networking performance.</w:t>
      </w:r>
      <w:r w:rsidR="00534845">
        <w:t xml:space="preserve"> </w:t>
      </w:r>
      <w:r>
        <w:t xml:space="preserve">This can be important in obtaining effective cost estimates when diverse workloads are aggregated from across many components </w:t>
      </w:r>
      <w:r w:rsidR="00DD3A01">
        <w:t xml:space="preserve">and </w:t>
      </w:r>
      <w:r>
        <w:t>combined into a single solicitation such as in this scenario.</w:t>
      </w:r>
      <w:r w:rsidR="00534845">
        <w:t xml:space="preserve"> </w:t>
      </w:r>
      <w:r>
        <w:t xml:space="preserve">Also note that </w:t>
      </w:r>
      <w:r w:rsidR="00DD3A01">
        <w:t xml:space="preserve">the particular </w:t>
      </w:r>
      <w:r>
        <w:t xml:space="preserve">capacity metrics </w:t>
      </w:r>
      <w:r w:rsidR="00DD3A01">
        <w:t xml:space="preserve">utilized </w:t>
      </w:r>
      <w:r>
        <w:t>can vary significantly across service model</w:t>
      </w:r>
      <w:r w:rsidR="00DD3A01">
        <w:t>s</w:t>
      </w:r>
      <w:r>
        <w:t>.</w:t>
      </w:r>
      <w:r w:rsidR="00534845">
        <w:t xml:space="preserve"> </w:t>
      </w:r>
      <w:r w:rsidR="0056668E">
        <w:t>Software as a Service (</w:t>
      </w:r>
      <w:r>
        <w:t>SaaS</w:t>
      </w:r>
      <w:r w:rsidR="0056668E">
        <w:t>)</w:t>
      </w:r>
      <w:r>
        <w:t xml:space="preserve"> solution metrics can often be based on </w:t>
      </w:r>
      <w:r w:rsidR="00DD3A01">
        <w:t xml:space="preserve">capabilities </w:t>
      </w:r>
      <w:r>
        <w:t>more closely aligned to the various application capabilities delivered and may not include as many technical measurements.</w:t>
      </w:r>
    </w:p>
    <w:p w14:paraId="6DCE2D9C" w14:textId="4C7963CB" w:rsidR="00742FA8" w:rsidRDefault="008A7980">
      <w:r>
        <w:t>A</w:t>
      </w:r>
      <w:r w:rsidR="005A31BA">
        <w:t>nticipate and plan for future expansion of required CSP capacity</w:t>
      </w:r>
      <w:r w:rsidR="00BE3719">
        <w:t>,</w:t>
      </w:r>
      <w:r w:rsidR="005A31BA">
        <w:t xml:space="preserve"> but also do not commit to requirements beyond current needs.</w:t>
      </w:r>
      <w:r w:rsidR="00534845">
        <w:t xml:space="preserve"> </w:t>
      </w:r>
      <w:r w:rsidR="005A31BA">
        <w:t xml:space="preserve">The goal is to build in flexibility for anticipated and potential increases, and </w:t>
      </w:r>
      <w:r w:rsidR="000216B9">
        <w:t xml:space="preserve">even </w:t>
      </w:r>
      <w:r w:rsidR="005A31BA">
        <w:t xml:space="preserve">decreases, in </w:t>
      </w:r>
      <w:r w:rsidR="00D1550C">
        <w:t xml:space="preserve">CSP service </w:t>
      </w:r>
      <w:r w:rsidR="00DC6AB1">
        <w:t>consumption</w:t>
      </w:r>
      <w:r w:rsidR="00D1550C">
        <w:t xml:space="preserve"> </w:t>
      </w:r>
      <w:r w:rsidR="00DC6AB1">
        <w:t>based</w:t>
      </w:r>
      <w:r w:rsidR="005A31BA">
        <w:t xml:space="preserve"> on reasonable assumptions.</w:t>
      </w:r>
      <w:r w:rsidR="00534845">
        <w:t xml:space="preserve"> </w:t>
      </w:r>
      <w:r w:rsidR="005A31BA">
        <w:t>Optional CLINs can be valuable tools to achieve this flexibility.</w:t>
      </w:r>
    </w:p>
    <w:p w14:paraId="19B8BD40" w14:textId="1BE69BCF" w:rsidR="00742FA8" w:rsidRDefault="005A31BA">
      <w:r>
        <w:t xml:space="preserve">Since the primary subject of this </w:t>
      </w:r>
      <w:r w:rsidR="0038784E">
        <w:t>Guide</w:t>
      </w:r>
      <w:r>
        <w:t xml:space="preserve"> is cloud computing, solicitations that require CSP solutions compliant with </w:t>
      </w:r>
      <w:r>
        <w:rPr>
          <w:i/>
        </w:rPr>
        <w:t>The NIST Definition of Cloud Computing</w:t>
      </w:r>
      <w:r>
        <w:t xml:space="preserve"> will avoid solutions that are only called cloud while ensuring your agency fully leverages its benefits.</w:t>
      </w:r>
      <w:r w:rsidR="00534845">
        <w:t xml:space="preserve"> </w:t>
      </w:r>
      <w:r>
        <w:t>FISMA security categorization for the hosted systems is a key constraint on the ability of the provider to meet security requirements.</w:t>
      </w:r>
      <w:r w:rsidR="00534845">
        <w:t xml:space="preserve"> </w:t>
      </w:r>
      <w:r>
        <w:t>There are far fewer FedRAMP High provisional authorizations than FedRAMP Moderate.</w:t>
      </w:r>
      <w:r w:rsidR="00534845">
        <w:t xml:space="preserve"> </w:t>
      </w:r>
      <w:r w:rsidR="006B259C">
        <w:t xml:space="preserve">This constraint is even more impactful within DoD with their four separate Impact Levels as defined in the Cloud Computing </w:t>
      </w:r>
      <w:r w:rsidR="009A13F4">
        <w:t>Security Requirements Guide (</w:t>
      </w:r>
      <w:r w:rsidR="006B259C">
        <w:t>SRG</w:t>
      </w:r>
      <w:r w:rsidR="009A13F4">
        <w:t>)</w:t>
      </w:r>
      <w:r w:rsidR="006B259C">
        <w:t>.</w:t>
      </w:r>
      <w:r w:rsidR="00534845">
        <w:t xml:space="preserve"> </w:t>
      </w:r>
      <w:r>
        <w:t xml:space="preserve">Consideration of whether to require FedRAMP authorization at the time of solicitation will save time on deployment by lowering risk of problems achieving security authorization </w:t>
      </w:r>
      <w:r w:rsidR="00386A95">
        <w:t>in a timely manner</w:t>
      </w:r>
      <w:r w:rsidR="0038784E">
        <w:t>,</w:t>
      </w:r>
      <w:r w:rsidR="00386A95">
        <w:t xml:space="preserve"> </w:t>
      </w:r>
      <w:r>
        <w:t>but may create challenges if the pool of capable providers is too small.</w:t>
      </w:r>
    </w:p>
    <w:p w14:paraId="5F40F23A" w14:textId="33DD4811" w:rsidR="00742FA8" w:rsidRDefault="005A31BA">
      <w:r>
        <w:t>Billing management requirements are an often</w:t>
      </w:r>
      <w:r w:rsidR="00386A95">
        <w:t>-</w:t>
      </w:r>
      <w:r>
        <w:t>overlooked component for a typical CSP-only acquisition.</w:t>
      </w:r>
      <w:r w:rsidR="00534845">
        <w:t xml:space="preserve"> </w:t>
      </w:r>
      <w:r>
        <w:t>As hundreds or thousands of individual resources can easily be deployed across the enterprise, managing the consumption can prove to be a significant challenge.</w:t>
      </w:r>
      <w:r w:rsidR="00534845">
        <w:t xml:space="preserve"> </w:t>
      </w:r>
      <w:r>
        <w:t>Ensuring that methods exist to help mark resources by organizational unit, by application within that organizational unit, and by environment (</w:t>
      </w:r>
      <w:r w:rsidR="007D2AA1">
        <w:t xml:space="preserve">e.g., </w:t>
      </w:r>
      <w:r>
        <w:t>dev, QA, prod) will help with the management problem.</w:t>
      </w:r>
      <w:r w:rsidR="00534845">
        <w:t xml:space="preserve"> </w:t>
      </w:r>
      <w:r>
        <w:t xml:space="preserve">All CSPs should provide API driven access to billing data and resource consumption </w:t>
      </w:r>
      <w:r w:rsidR="00BF49A8">
        <w:t>details</w:t>
      </w:r>
      <w:r w:rsidR="008F1A40">
        <w:t>.</w:t>
      </w:r>
      <w:r w:rsidR="00BF49A8">
        <w:t xml:space="preserve"> </w:t>
      </w:r>
      <w:r w:rsidR="00245521">
        <w:t xml:space="preserve">Building on this, </w:t>
      </w:r>
      <w:r>
        <w:t xml:space="preserve">ensure CSP </w:t>
      </w:r>
      <w:r w:rsidR="00FE3ADC">
        <w:t xml:space="preserve">integration </w:t>
      </w:r>
      <w:r>
        <w:t>capability with agency systems</w:t>
      </w:r>
      <w:r w:rsidR="00FE3ADC">
        <w:t xml:space="preserve"> and prepare </w:t>
      </w:r>
      <w:r>
        <w:t>agency processes</w:t>
      </w:r>
      <w:r w:rsidR="00FE3ADC">
        <w:t xml:space="preserve"> to support effective management of</w:t>
      </w:r>
      <w:r>
        <w:t xml:space="preserve"> resource consumption.</w:t>
      </w:r>
    </w:p>
    <w:p w14:paraId="59997AD4" w14:textId="77777777" w:rsidR="00742FA8" w:rsidRPr="001A099D" w:rsidRDefault="005A31BA" w:rsidP="00A76CF5">
      <w:pPr>
        <w:pStyle w:val="Heading5"/>
      </w:pPr>
      <w:r w:rsidRPr="001A099D">
        <w:t>Contract Vehicle Options</w:t>
      </w:r>
    </w:p>
    <w:p w14:paraId="7009F619" w14:textId="56E7568A" w:rsidR="00742FA8" w:rsidRDefault="005A31BA">
      <w:r>
        <w:t xml:space="preserve">With the scope of the acquisition narrowed down to a single </w:t>
      </w:r>
      <w:r w:rsidR="00A76CF5">
        <w:t>well-defined</w:t>
      </w:r>
      <w:r>
        <w:t xml:space="preserve"> category, potential contract vehicle identification is simplified.</w:t>
      </w:r>
      <w:r w:rsidR="00534845">
        <w:t xml:space="preserve"> </w:t>
      </w:r>
      <w:r>
        <w:t>There are numerous government-wide options available but few have pre-evaluated cloud solution compliance with the NIST cloud computing characteristics.</w:t>
      </w:r>
      <w:r w:rsidR="00534845">
        <w:t xml:space="preserve"> </w:t>
      </w:r>
      <w:r>
        <w:t xml:space="preserve">Popular </w:t>
      </w:r>
      <w:r w:rsidR="00A76CF5">
        <w:t>general-purpose</w:t>
      </w:r>
      <w:r>
        <w:t xml:space="preserve"> players include the </w:t>
      </w:r>
      <w:r w:rsidR="007D2AA1">
        <w:t>delivery-order</w:t>
      </w:r>
      <w:r>
        <w:t xml:space="preserve"> based GWACs (e.g.</w:t>
      </w:r>
      <w:r w:rsidR="007D2AA1">
        <w:t>,</w:t>
      </w:r>
      <w:r>
        <w:t xml:space="preserve"> NASA SEWP, CIO-CS) and of course Schedule 70 which features the Cloud SIN that </w:t>
      </w:r>
      <w:r w:rsidR="00E50D5C">
        <w:t xml:space="preserve">does </w:t>
      </w:r>
      <w:r>
        <w:t>contain pre-vetted NIST compliant offerings.</w:t>
      </w:r>
      <w:r w:rsidR="00534845">
        <w:t xml:space="preserve"> </w:t>
      </w:r>
      <w:r>
        <w:t xml:space="preserve">DOI’s Foundation Cloud Hosting Services (FCHS) also is a viable option as it is open to government-wide use and </w:t>
      </w:r>
      <w:r w:rsidR="00D1550C">
        <w:t xml:space="preserve">has </w:t>
      </w:r>
      <w:r>
        <w:t xml:space="preserve">vetted solutions for the NIST cloud characteristics. The major IT solutions contracts are not suitable options when only procuring commodity cloud services. Some agencies will have other specific options such as the Army ACCENT blanket ordering agreement (BOA) and the DHS ECS BPA are recent examples. Having removed the requirement for professional services, </w:t>
      </w:r>
      <w:r w:rsidR="00A644B9">
        <w:t>lowest price technically acceptable (</w:t>
      </w:r>
      <w:r>
        <w:t>LPTA</w:t>
      </w:r>
      <w:r w:rsidR="00A644B9">
        <w:t>)</w:t>
      </w:r>
      <w:r>
        <w:t xml:space="preserve"> evaluation becomes an option.</w:t>
      </w:r>
    </w:p>
    <w:p w14:paraId="49330A2D" w14:textId="177A39F2" w:rsidR="00742FA8" w:rsidRDefault="005A31BA">
      <w:r>
        <w:t>Differences will be found in contract vehicle access to CSPs based on the service model, especially for SaaS.</w:t>
      </w:r>
      <w:r w:rsidR="00534845">
        <w:t xml:space="preserve"> </w:t>
      </w:r>
      <w:r>
        <w:t>Comprehensive IaaS providers that deliver a range of typical hosting services including various sized VM’s, storage options, and flexible programmatic networking capabilities, are typically well represented on vehicles.</w:t>
      </w:r>
      <w:r w:rsidR="00534845">
        <w:t xml:space="preserve"> </w:t>
      </w:r>
      <w:r>
        <w:t>SaaS providers may not be generally available on multiple government-wide contracts due to licensing exclusivity with their channel partners.</w:t>
      </w:r>
    </w:p>
    <w:p w14:paraId="57FD9CED" w14:textId="77777777" w:rsidR="00E15D49" w:rsidRDefault="00E15D49" w:rsidP="0038784E">
      <w:r>
        <w:br w:type="page"/>
      </w:r>
    </w:p>
    <w:p w14:paraId="3D2069BD" w14:textId="77777777" w:rsidR="00A7176F" w:rsidRDefault="00A7176F" w:rsidP="0038784E">
      <w:pPr>
        <w:sectPr w:rsidR="00A7176F" w:rsidSect="00F97CD7">
          <w:headerReference w:type="default" r:id="rId35"/>
          <w:pgSz w:w="12240" w:h="15840"/>
          <w:pgMar w:top="1440" w:right="1440" w:bottom="1440" w:left="1440" w:header="0" w:footer="288" w:gutter="0"/>
          <w:cols w:space="720"/>
          <w:docGrid w:linePitch="326"/>
        </w:sectPr>
      </w:pPr>
    </w:p>
    <w:p w14:paraId="461A4C2B" w14:textId="7DC4F8D8" w:rsidR="00742FA8" w:rsidRDefault="005A31BA" w:rsidP="00A76CF5">
      <w:pPr>
        <w:pStyle w:val="Heading1"/>
      </w:pPr>
      <w:bookmarkStart w:id="15" w:name="_Toc487802614"/>
      <w:r>
        <w:t>Expanded Cloud Topics</w:t>
      </w:r>
      <w:bookmarkEnd w:id="15"/>
    </w:p>
    <w:p w14:paraId="79E8F611" w14:textId="77777777" w:rsidR="00742FA8" w:rsidRDefault="005A31BA" w:rsidP="00E122BF">
      <w:pPr>
        <w:pStyle w:val="Heading2"/>
        <w:numPr>
          <w:ilvl w:val="1"/>
          <w:numId w:val="29"/>
        </w:numPr>
      </w:pPr>
      <w:bookmarkStart w:id="16" w:name="_Toc487802615"/>
      <w:r>
        <w:t xml:space="preserve">Cloud </w:t>
      </w:r>
      <w:r w:rsidRPr="00A76CF5">
        <w:t>Services</w:t>
      </w:r>
      <w:r>
        <w:t xml:space="preserve"> vs</w:t>
      </w:r>
      <w:r w:rsidR="007D2AA1">
        <w:t>.</w:t>
      </w:r>
      <w:r>
        <w:t xml:space="preserve"> Managed Data Center Services</w:t>
      </w:r>
      <w:bookmarkEnd w:id="16"/>
    </w:p>
    <w:p w14:paraId="7934F251" w14:textId="4FF043FD" w:rsidR="00742FA8" w:rsidRDefault="005A31BA">
      <w:pPr>
        <w:rPr>
          <w:rFonts w:eastAsia="Times New Roman" w:cs="Times New Roman"/>
        </w:rPr>
      </w:pPr>
      <w:r>
        <w:rPr>
          <w:rFonts w:eastAsia="Times New Roman" w:cs="Times New Roman"/>
        </w:rPr>
        <w:t xml:space="preserve">In the prior discussion about challenges of cloud, it was mentioned that the cloud market is nascent enough that there are general conventions, but </w:t>
      </w:r>
      <w:r w:rsidR="0061759E">
        <w:rPr>
          <w:rFonts w:eastAsia="Times New Roman" w:cs="Times New Roman"/>
        </w:rPr>
        <w:t>few</w:t>
      </w:r>
      <w:r>
        <w:rPr>
          <w:rFonts w:eastAsia="Times New Roman" w:cs="Times New Roman"/>
        </w:rPr>
        <w:t xml:space="preserve"> standards within the industry. As a result, many apply traditional understanding and historical frameworks to cloud services. It is common for those unfamiliar with the cloud industry to view cloud through the lens of managed services. This is much more familiar to them; they hear familiar terms and readily apply the managed services framework to increase their ease of deployment and speed of progress. While understandable, this may be a significant mistake. A simple example of this situation is the service type and levels an agency receives when they purchase infrastructure managed services as part of a data center outsourcing arrangement. In a mature marketplace, an agency expects to receive all services from the physical structure, air conditioning, facility power distribution, network core and support, and server platforms. Maintenance of these components is reasonably expected as well. </w:t>
      </w:r>
      <w:r w:rsidR="006B259C">
        <w:rPr>
          <w:rFonts w:eastAsia="Times New Roman" w:cs="Times New Roman"/>
        </w:rPr>
        <w:t xml:space="preserve">When purchasing cloud services the maintenance of some components such as applications and monitoring services standardized to existing agency models and systems are not included in the standard CSP provided services. </w:t>
      </w:r>
      <w:r>
        <w:rPr>
          <w:rFonts w:eastAsia="Times New Roman" w:cs="Times New Roman"/>
        </w:rPr>
        <w:t>Most cloud infrastructures are virtualized frames that run an “operating system” for the frame (hypervisor for example), typically referred to as the host. The cloud provider will invariably operate, maintain, and guarantee the host or frame management operating system as it is on CSP’s side of the service boundary.</w:t>
      </w:r>
      <w:r w:rsidR="00534845">
        <w:rPr>
          <w:rFonts w:eastAsia="Times New Roman" w:cs="Times New Roman"/>
        </w:rPr>
        <w:t xml:space="preserve"> </w:t>
      </w:r>
      <w:r>
        <w:rPr>
          <w:rFonts w:eastAsia="Times New Roman" w:cs="Times New Roman"/>
        </w:rPr>
        <w:t>On the agency side of the boundary is the operating system</w:t>
      </w:r>
      <w:r w:rsidR="0038784E">
        <w:rPr>
          <w:rFonts w:eastAsia="Times New Roman" w:cs="Times New Roman"/>
        </w:rPr>
        <w:t xml:space="preserve"> (OS)</w:t>
      </w:r>
      <w:r>
        <w:rPr>
          <w:rFonts w:eastAsia="Times New Roman" w:cs="Times New Roman"/>
        </w:rPr>
        <w:t xml:space="preserve"> known as the guest that runs the computing instances for the agency. It is the one that runs the agency application as part of the virtual OS and interfaces with the application. This is a modern form of the traditional OS most of us are familiar with from the “racked iron” era. By default, this guest OS is not necessarily patched, updated</w:t>
      </w:r>
      <w:r w:rsidR="0038784E">
        <w:rPr>
          <w:rFonts w:eastAsia="Times New Roman" w:cs="Times New Roman"/>
        </w:rPr>
        <w:t>,</w:t>
      </w:r>
      <w:r>
        <w:rPr>
          <w:rFonts w:eastAsia="Times New Roman" w:cs="Times New Roman"/>
        </w:rPr>
        <w:t xml:space="preserve"> and maintained as a standard managed cloud offering as an agency might expect if viewing this through a managed service lens. </w:t>
      </w:r>
    </w:p>
    <w:p w14:paraId="7F410F46" w14:textId="591BFBBB" w:rsidR="00742FA8" w:rsidRDefault="005A31BA">
      <w:pPr>
        <w:rPr>
          <w:rFonts w:eastAsia="Times New Roman" w:cs="Times New Roman"/>
        </w:rPr>
      </w:pPr>
      <w:r>
        <w:rPr>
          <w:rFonts w:eastAsia="Times New Roman" w:cs="Times New Roman"/>
        </w:rPr>
        <w:t xml:space="preserve">Commercial </w:t>
      </w:r>
      <w:r w:rsidR="007D2AA1">
        <w:rPr>
          <w:rFonts w:eastAsia="Times New Roman" w:cs="Times New Roman"/>
        </w:rPr>
        <w:t>CSP</w:t>
      </w:r>
      <w:r>
        <w:rPr>
          <w:rFonts w:eastAsia="Times New Roman" w:cs="Times New Roman"/>
        </w:rPr>
        <w:t xml:space="preserve"> offerings have been standardized to efficiently support high volume consumption and perceived near-infinite scaling capabilities in a multi-tenant environment.</w:t>
      </w:r>
      <w:r w:rsidR="00534845">
        <w:rPr>
          <w:rFonts w:eastAsia="Times New Roman" w:cs="Times New Roman"/>
        </w:rPr>
        <w:t xml:space="preserve"> </w:t>
      </w:r>
      <w:r>
        <w:rPr>
          <w:rFonts w:eastAsia="Times New Roman" w:cs="Times New Roman"/>
        </w:rPr>
        <w:t>This standardization typically means the agency consumer will need to have additional services layered on top of the direct CSP service to match their individual requirements.</w:t>
      </w:r>
      <w:r w:rsidR="00534845">
        <w:rPr>
          <w:rFonts w:eastAsia="Times New Roman" w:cs="Times New Roman"/>
        </w:rPr>
        <w:t xml:space="preserve"> </w:t>
      </w:r>
      <w:r>
        <w:rPr>
          <w:rFonts w:eastAsia="Times New Roman" w:cs="Times New Roman"/>
        </w:rPr>
        <w:t>These additional services can be provided either by agency staff or by contracting for professional services.</w:t>
      </w:r>
      <w:r w:rsidR="00534845">
        <w:rPr>
          <w:rFonts w:eastAsia="Times New Roman" w:cs="Times New Roman"/>
        </w:rPr>
        <w:t xml:space="preserve"> </w:t>
      </w:r>
      <w:r>
        <w:rPr>
          <w:rFonts w:eastAsia="Times New Roman" w:cs="Times New Roman"/>
        </w:rPr>
        <w:t>A common example exists in Infrastructure as a Service (IaaS) offerings such as a virtual machine service.</w:t>
      </w:r>
      <w:r w:rsidR="00534845">
        <w:rPr>
          <w:rFonts w:eastAsia="Times New Roman" w:cs="Times New Roman"/>
        </w:rPr>
        <w:t xml:space="preserve"> </w:t>
      </w:r>
      <w:r>
        <w:rPr>
          <w:rFonts w:eastAsia="Times New Roman" w:cs="Times New Roman"/>
        </w:rPr>
        <w:t>Although IaaS CSP’s will provide the agency consumer with a fully tested and patched OS image to launch the virtual server, once that virtual machine is launched and running, the CSP is not responsible for installing application software, applying future OS patches, monitoring that the server is performing the task intended (e.g.</w:t>
      </w:r>
      <w:r w:rsidR="0038784E">
        <w:rPr>
          <w:rFonts w:eastAsia="Times New Roman" w:cs="Times New Roman"/>
        </w:rPr>
        <w:t>,</w:t>
      </w:r>
      <w:r>
        <w:rPr>
          <w:rFonts w:eastAsia="Times New Roman" w:cs="Times New Roman"/>
        </w:rPr>
        <w:t xml:space="preserve"> software application errors), or otherwise responsible for management of what happens within that guest server instance. These extra services, along with other requirements such as disaster recovery, continuity of operations, and application management, constitute typical managed data center services. </w:t>
      </w:r>
    </w:p>
    <w:p w14:paraId="7DF3E863" w14:textId="3EB859F9" w:rsidR="00742FA8" w:rsidRDefault="005A31BA">
      <w:pPr>
        <w:rPr>
          <w:rFonts w:eastAsia="Times New Roman" w:cs="Times New Roman"/>
        </w:rPr>
      </w:pPr>
      <w:r>
        <w:rPr>
          <w:rFonts w:eastAsia="Times New Roman" w:cs="Times New Roman"/>
        </w:rPr>
        <w:t>It is a key procurement and risk management consideration to plan for these services in the cloud space.</w:t>
      </w:r>
      <w:r w:rsidR="00534845">
        <w:rPr>
          <w:rFonts w:eastAsia="Times New Roman" w:cs="Times New Roman"/>
        </w:rPr>
        <w:t xml:space="preserve"> </w:t>
      </w:r>
      <w:r>
        <w:rPr>
          <w:rFonts w:eastAsia="Times New Roman" w:cs="Times New Roman"/>
        </w:rPr>
        <w:t>Does your agency have in-house expertise to provide these services or are they currently contracted to a system integrator?</w:t>
      </w:r>
      <w:r w:rsidR="00534845">
        <w:rPr>
          <w:rFonts w:eastAsia="Times New Roman" w:cs="Times New Roman"/>
        </w:rPr>
        <w:t xml:space="preserve"> </w:t>
      </w:r>
      <w:r>
        <w:rPr>
          <w:rFonts w:eastAsia="Times New Roman" w:cs="Times New Roman"/>
        </w:rPr>
        <w:t xml:space="preserve">Although they can easily be obtained and contracted with the IaaS hosting services by system integrators or other contractors, tradeoffs must </w:t>
      </w:r>
      <w:r w:rsidR="007D2AA1">
        <w:rPr>
          <w:rFonts w:eastAsia="Times New Roman" w:cs="Times New Roman"/>
        </w:rPr>
        <w:t xml:space="preserve">be </w:t>
      </w:r>
      <w:r>
        <w:rPr>
          <w:rFonts w:eastAsia="Times New Roman" w:cs="Times New Roman"/>
        </w:rPr>
        <w:t>considered in contracting convenience versus flexibility and managing vendor lock-in risk by separating the contracting efforts.</w:t>
      </w:r>
    </w:p>
    <w:p w14:paraId="112716D4" w14:textId="77777777" w:rsidR="00742FA8" w:rsidRDefault="005A31BA" w:rsidP="00E122BF">
      <w:pPr>
        <w:pStyle w:val="Heading2"/>
      </w:pPr>
      <w:bookmarkStart w:id="17" w:name="_Toc487802616"/>
      <w:r>
        <w:t>Transition Professional Services</w:t>
      </w:r>
      <w:bookmarkEnd w:id="17"/>
    </w:p>
    <w:p w14:paraId="23A3760B" w14:textId="46BCFDFE" w:rsidR="00742FA8" w:rsidRDefault="005A31BA">
      <w:r>
        <w:rPr>
          <w:rFonts w:eastAsia="Times New Roman" w:cs="Times New Roman"/>
        </w:rPr>
        <w:t>Transition professional services include all those IT professional services used to support the migration or transition of workloads from its current hosting environment to a destination environment.</w:t>
      </w:r>
      <w:r w:rsidR="00534845">
        <w:rPr>
          <w:rFonts w:eastAsia="Times New Roman" w:cs="Times New Roman"/>
        </w:rPr>
        <w:t xml:space="preserve"> </w:t>
      </w:r>
      <w:r>
        <w:rPr>
          <w:rFonts w:eastAsia="Times New Roman" w:cs="Times New Roman"/>
        </w:rPr>
        <w:t xml:space="preserve">This can include various support services including inventory, assessment and rationalization, migration assistance, cloud architecting, environment configuration, and similar related services. Labor in this case does not include billing administration, help desk specific to services within the CSP’s boundary, incident response, etc., which are usually all included in the CSP rates for compute, storage, </w:t>
      </w:r>
      <w:r w:rsidR="00B04401">
        <w:rPr>
          <w:rFonts w:eastAsia="Times New Roman" w:cs="Times New Roman"/>
        </w:rPr>
        <w:t>or related provisioned resources</w:t>
      </w:r>
      <w:r>
        <w:rPr>
          <w:rFonts w:eastAsia="Times New Roman" w:cs="Times New Roman"/>
        </w:rPr>
        <w:t xml:space="preserve">. </w:t>
      </w:r>
    </w:p>
    <w:p w14:paraId="50F45238" w14:textId="5EE537CD" w:rsidR="00742FA8" w:rsidRDefault="005A31BA" w:rsidP="00E122BF">
      <w:pPr>
        <w:pStyle w:val="Heading2"/>
      </w:pPr>
      <w:bookmarkStart w:id="18" w:name="_Toc487802617"/>
      <w:r>
        <w:t>Paying For Cloud</w:t>
      </w:r>
      <w:bookmarkEnd w:id="18"/>
    </w:p>
    <w:p w14:paraId="48032076" w14:textId="71B83437" w:rsidR="00742FA8" w:rsidRDefault="005A31BA" w:rsidP="00A76CF5">
      <w:pPr>
        <w:pStyle w:val="Heading3"/>
      </w:pPr>
      <w:r>
        <w:t>Consumption</w:t>
      </w:r>
      <w:r w:rsidR="00DC6AB1">
        <w:t>-b</w:t>
      </w:r>
      <w:r>
        <w:t>ased Billing</w:t>
      </w:r>
    </w:p>
    <w:p w14:paraId="3B011AD8" w14:textId="18067879" w:rsidR="00742FA8" w:rsidRDefault="005A31BA" w:rsidP="00D62F92">
      <w:r>
        <w:t xml:space="preserve">The metered billing aspect of cloud computing services is a critical element to achieve the goal of improving IT spending efficiency and forces government to approach purchasing computing power in a whole new way. Consumption </w:t>
      </w:r>
      <w:r w:rsidR="00610F8F">
        <w:t xml:space="preserve">or usage </w:t>
      </w:r>
      <w:r>
        <w:t>based billing is the most desired payment method for cloud computing to drive down costs for the government and to create the most efficient spend. Cloud computing power is often purchased by the metered minute or hour, like a rental model. Vendor billing for cloud computing power is often broken down into units of processing power, units of storage, and units of up/down bandwidth, all by the minute or hour.</w:t>
      </w:r>
    </w:p>
    <w:p w14:paraId="346FB15A" w14:textId="0D373F85" w:rsidR="00742FA8" w:rsidRDefault="005A31BA" w:rsidP="00D62F92">
      <w:r>
        <w:t xml:space="preserve">This metered facet of cloud computing billing and realizing the cost benefits conveyed by buying only the amount required has caused confusion and concern in the government contracting community. The challenge contains aspects of both contracting specifics and government financial business processes. This form of billing is widely used in the private sector but is not common among government customers. </w:t>
      </w:r>
      <w:r w:rsidR="00DC6AB1">
        <w:t>Consumption-</w:t>
      </w:r>
      <w:r>
        <w:t>based billing is burdensome in terms of the management required to budget, obligate</w:t>
      </w:r>
      <w:r w:rsidR="0038784E">
        <w:t>,</w:t>
      </w:r>
      <w:r>
        <w:t xml:space="preserve"> and monitor billing.</w:t>
      </w:r>
    </w:p>
    <w:p w14:paraId="3BF39E37" w14:textId="77777777" w:rsidR="00742FA8" w:rsidRDefault="005A31BA" w:rsidP="00A76CF5">
      <w:pPr>
        <w:pStyle w:val="Heading3"/>
      </w:pPr>
      <w:r>
        <w:t>How the Government Pays for Cloud</w:t>
      </w:r>
    </w:p>
    <w:p w14:paraId="0C0979A1" w14:textId="3DFE2B1A" w:rsidR="00742FA8" w:rsidRDefault="005A31BA" w:rsidP="00D62F92">
      <w:r>
        <w:t>Cloud computing services, while still an evolving concept clearly falls within the realm of commercial services, and there are numerous pricing models for cloud in the commercial world.</w:t>
      </w:r>
      <w:r w:rsidR="00534845">
        <w:t xml:space="preserve"> </w:t>
      </w:r>
      <w:r>
        <w:t>However, unlike business-to-business contracts, Government contracts are constrained by fiscal law.</w:t>
      </w:r>
      <w:r w:rsidR="00534845">
        <w:t xml:space="preserve"> </w:t>
      </w:r>
      <w:r>
        <w:t>The Government cannot incur obligations in excess of contract funding.</w:t>
      </w:r>
      <w:r w:rsidR="00534845">
        <w:t xml:space="preserve"> </w:t>
      </w:r>
      <w:r>
        <w:t xml:space="preserve">Nor can the Government front-load funding for more </w:t>
      </w:r>
      <w:r w:rsidR="00A204B7">
        <w:t xml:space="preserve">goods or services </w:t>
      </w:r>
      <w:r>
        <w:t>than is reasonably expected.</w:t>
      </w:r>
      <w:r w:rsidR="00534845">
        <w:t xml:space="preserve"> </w:t>
      </w:r>
      <w:r>
        <w:t xml:space="preserve">This is problematic when unexpected demands </w:t>
      </w:r>
      <w:r w:rsidR="007D2AA1">
        <w:t>(</w:t>
      </w:r>
      <w:r>
        <w:t>e.g., disasters, recovery services, etc</w:t>
      </w:r>
      <w:r w:rsidR="007D2AA1">
        <w:t xml:space="preserve">.) </w:t>
      </w:r>
      <w:r>
        <w:t>emerge</w:t>
      </w:r>
      <w:r w:rsidR="007D2AA1">
        <w:t>.</w:t>
      </w:r>
    </w:p>
    <w:p w14:paraId="628BBA34" w14:textId="07E8B11F" w:rsidR="00742FA8" w:rsidRDefault="00E76D15" w:rsidP="00D62F92">
      <w:r>
        <w:t xml:space="preserve">If an agency discourages the use of T&amp;M contracts because of the risks to the Government, </w:t>
      </w:r>
      <w:r w:rsidR="0003616D">
        <w:t>h</w:t>
      </w:r>
      <w:r w:rsidR="005A31BA">
        <w:t xml:space="preserve">ow </w:t>
      </w:r>
      <w:r>
        <w:t xml:space="preserve">will </w:t>
      </w:r>
      <w:r w:rsidR="005A31BA">
        <w:t xml:space="preserve">a contract be crafted when the method of billing calls for a </w:t>
      </w:r>
      <w:r>
        <w:t>T&amp;M</w:t>
      </w:r>
      <w:r w:rsidR="005A31BA">
        <w:t xml:space="preserve"> contract type? There are risks of running out of funding and violating the Antideficiency Act, especially for a service that can be provisioned so easily. Thus far, most agencies’ innovations with respect to procuring cloud computing services have relied upon flexibilities already existing within the FAR. Agencies are using three approaches for paying for cloud computing services today, including:</w:t>
      </w:r>
    </w:p>
    <w:p w14:paraId="257336E2" w14:textId="50E9EF7F" w:rsidR="00742FA8" w:rsidRDefault="005A31BA" w:rsidP="007A57E1">
      <w:pPr>
        <w:pStyle w:val="BodyBullet1"/>
      </w:pPr>
      <w:r>
        <w:t>Approach 1: Optional CLIN Not To Exceed</w:t>
      </w:r>
      <w:r w:rsidR="007A57E1">
        <w:t xml:space="preserve"> (NTE)</w:t>
      </w:r>
    </w:p>
    <w:p w14:paraId="3A9E3848" w14:textId="77777777" w:rsidR="00D62F92" w:rsidRDefault="005A31BA" w:rsidP="007A57E1">
      <w:pPr>
        <w:pStyle w:val="BodyBullet1"/>
      </w:pPr>
      <w:r>
        <w:t>Approach 2: Drawdown Accounts</w:t>
      </w:r>
    </w:p>
    <w:p w14:paraId="25C4687B" w14:textId="62E1E597" w:rsidR="00742FA8" w:rsidRPr="00D62F92" w:rsidRDefault="005A31BA" w:rsidP="007A57E1">
      <w:pPr>
        <w:pStyle w:val="BodyBullet1"/>
      </w:pPr>
      <w:r>
        <w:t>Approach 3: Subscription Based</w:t>
      </w:r>
    </w:p>
    <w:p w14:paraId="7AE905A8" w14:textId="159870C1" w:rsidR="00742FA8" w:rsidRDefault="005A31BA" w:rsidP="00D62F92">
      <w:pPr>
        <w:spacing w:before="120"/>
      </w:pPr>
      <w:r>
        <w:t xml:space="preserve">For Approaches 1 and 2, </w:t>
      </w:r>
      <w:r w:rsidR="00E76D15">
        <w:t>agencies</w:t>
      </w:r>
      <w:r>
        <w:t xml:space="preserve"> have been crafting a contract with a FFP per unit of sale and then monitoring the burn rate similar to a T&amp;M contract to manage the risk of runaway cloud services and labor exceeding funding and possibly violating the </w:t>
      </w:r>
      <w:r w:rsidR="00320DE1">
        <w:t xml:space="preserve">Antideficiency </w:t>
      </w:r>
      <w:r>
        <w:t>Act. Similar risk exists in having to de-obligate excess funding near the end of the fiscal year. Agencies must have the contract management governance in place to monitor cloud services contracts. Many CSPs offer tools that will alert agencies when a specific threshold of spent funds has been reached to help mitigate this situation.</w:t>
      </w:r>
    </w:p>
    <w:p w14:paraId="641D7A03" w14:textId="6A068B5E" w:rsidR="00742FA8" w:rsidRDefault="00E76D15" w:rsidP="00D62F92">
      <w:r>
        <w:t xml:space="preserve">The third </w:t>
      </w:r>
      <w:r w:rsidR="005A31BA">
        <w:t xml:space="preserve">option available from </w:t>
      </w:r>
      <w:r w:rsidR="00A644B9">
        <w:t>CSPs</w:t>
      </w:r>
      <w:r w:rsidR="005A31BA">
        <w:t xml:space="preserve"> is offering cloud services by subscription. </w:t>
      </w:r>
      <w:r>
        <w:t>R</w:t>
      </w:r>
      <w:r w:rsidR="005A31BA">
        <w:t xml:space="preserve">ather than paying by the individual item, a CSP might offer a bundle of cloud computing services for a fixed monthly price that the agency must commit to using for a defined period. The agency then receives a known quantity of cloud services for a known price for many months, or even a year. The agency then remains somewhat at risk since the subscription cloud services are provided on a “use or lose” basis where the agency might pay for unused computing power that it has committed to via subscription. In this case, the agency forfeits one of the advantages of cloud computing - its potential for saving money during periods of low consumption. The other advantages of cloud computing, </w:t>
      </w:r>
      <w:r w:rsidR="00BB7C37">
        <w:t>such as</w:t>
      </w:r>
      <w:r w:rsidR="005A31BA">
        <w:t xml:space="preserve"> agility, etc., are not affected by the subscription billing model. </w:t>
      </w:r>
    </w:p>
    <w:p w14:paraId="59DEB0B0" w14:textId="181D7B81" w:rsidR="00742FA8" w:rsidRDefault="005A31BA" w:rsidP="00D62F92">
      <w:r>
        <w:t>Each of these approaches is described below along with an explanation of their detractors and why they are preventing the government from acquiring cloud services.</w:t>
      </w:r>
    </w:p>
    <w:p w14:paraId="4F2D237B" w14:textId="5B53946A" w:rsidR="00742FA8" w:rsidRDefault="005A31BA" w:rsidP="00A76CF5">
      <w:pPr>
        <w:pStyle w:val="Heading3"/>
      </w:pPr>
      <w:r>
        <w:t>Approach 1: Optional CLIN Not to Exceed:</w:t>
      </w:r>
    </w:p>
    <w:p w14:paraId="11B713D5" w14:textId="77777777" w:rsidR="00742FA8" w:rsidRDefault="005A31BA">
      <w:r>
        <w:rPr>
          <w:rFonts w:eastAsia="Times New Roman" w:cs="Times New Roman"/>
        </w:rPr>
        <w:t xml:space="preserve">A contract will have one or more optional CLINs specific to the hosting of cloud computing services. The government obligates the money to a CLIN as needed and the funded vendor does the work based on a notice to proceed. The government receives invoices as the services are consumed and the vendor is paid out of the obligated money. The government monitors the bucket of money and exercises another optional CLIN as necessary to support additional cloud computing utilization. </w:t>
      </w:r>
    </w:p>
    <w:p w14:paraId="3780864E" w14:textId="37D5C395" w:rsidR="00742FA8" w:rsidRDefault="005A31BA">
      <w:r>
        <w:rPr>
          <w:rFonts w:eastAsia="Times New Roman" w:cs="Times New Roman"/>
          <w:b/>
          <w:i/>
        </w:rPr>
        <w:t>Pros:</w:t>
      </w:r>
      <w:r>
        <w:rPr>
          <w:rFonts w:eastAsia="Times New Roman" w:cs="Times New Roman"/>
        </w:rPr>
        <w:t xml:space="preserve"> Most common method for funding cloud and is the traditional method on contracting for IT services.</w:t>
      </w:r>
      <w:r w:rsidR="00534845">
        <w:rPr>
          <w:rFonts w:eastAsia="Times New Roman" w:cs="Times New Roman"/>
        </w:rPr>
        <w:t xml:space="preserve"> </w:t>
      </w:r>
    </w:p>
    <w:p w14:paraId="58AD3374" w14:textId="77777777" w:rsidR="00742FA8" w:rsidRDefault="005A31BA">
      <w:r>
        <w:rPr>
          <w:rFonts w:eastAsia="Times New Roman" w:cs="Times New Roman"/>
          <w:b/>
          <w:i/>
        </w:rPr>
        <w:t>Cons:</w:t>
      </w:r>
      <w:r>
        <w:rPr>
          <w:rFonts w:eastAsia="Times New Roman" w:cs="Times New Roman"/>
        </w:rPr>
        <w:t xml:space="preserve"> Unable to ramp services up and down based on usage. There is not full realization of the benefits of elasticity of cloud in terms of cost savings.</w:t>
      </w:r>
    </w:p>
    <w:p w14:paraId="079BD02C" w14:textId="30717C14" w:rsidR="00742FA8" w:rsidRDefault="005A31BA" w:rsidP="00A76CF5">
      <w:pPr>
        <w:pStyle w:val="Heading3"/>
      </w:pPr>
      <w:r>
        <w:t>Approach 2: Drawdown Accounts:</w:t>
      </w:r>
      <w:r w:rsidR="00801F70" w:rsidRPr="00801F70">
        <w:t xml:space="preserve"> </w:t>
      </w:r>
    </w:p>
    <w:p w14:paraId="7F8DD217" w14:textId="77777777" w:rsidR="00742FA8" w:rsidRDefault="005A31BA">
      <w:r>
        <w:rPr>
          <w:rFonts w:eastAsia="Times New Roman" w:cs="Times New Roman"/>
          <w:u w:val="single"/>
        </w:rPr>
        <w:t>Drawdown Model A:</w:t>
      </w:r>
      <w:r>
        <w:rPr>
          <w:rFonts w:eastAsia="Times New Roman" w:cs="Times New Roman"/>
        </w:rPr>
        <w:t xml:space="preserve"> Government monitors</w:t>
      </w:r>
    </w:p>
    <w:p w14:paraId="7EC1BFB4" w14:textId="77777777" w:rsidR="00742FA8" w:rsidRDefault="005A31BA">
      <w:r>
        <w:rPr>
          <w:rFonts w:eastAsia="Times New Roman" w:cs="Times New Roman"/>
        </w:rPr>
        <w:t>The government engages with the vendor to estimate what the government is going to use. The government agrees to terms with the vendor such as $50 million over 5 years, which comes to $10 million per year. The government obligates the initial $10 million annual amount. Each month there is a bill and the money is taken from the fund to pay it. There is a drawdown against that account. The remaining funds are monitored for burn rate. If the remaining funds get low, the agency requests additional funds from the CFO that can be obligated to maintain services.</w:t>
      </w:r>
    </w:p>
    <w:p w14:paraId="69E44643" w14:textId="77777777" w:rsidR="00742FA8" w:rsidRDefault="005A31BA">
      <w:r>
        <w:rPr>
          <w:rFonts w:eastAsia="Times New Roman" w:cs="Times New Roman"/>
          <w:u w:val="single"/>
        </w:rPr>
        <w:t>Drawdown Model B:</w:t>
      </w:r>
      <w:r>
        <w:rPr>
          <w:rFonts w:eastAsia="Times New Roman" w:cs="Times New Roman"/>
        </w:rPr>
        <w:t xml:space="preserve"> Vendor monitors</w:t>
      </w:r>
    </w:p>
    <w:p w14:paraId="75686B80" w14:textId="77777777" w:rsidR="00742FA8" w:rsidRDefault="005A31BA">
      <w:r>
        <w:rPr>
          <w:rFonts w:eastAsia="Times New Roman" w:cs="Times New Roman"/>
        </w:rPr>
        <w:t xml:space="preserve">The vendor is obligated a lump sum of money for work to be completed. The vendor keeps track of burn rate and value. There is a drawdown against that account. Once the burn hits a prearranged level such as 70%, the vendor notifies the government and estimates how long 30% remaining will last. The government gets additional funding obligated to “recharge the debit card” and work proceeds. </w:t>
      </w:r>
    </w:p>
    <w:p w14:paraId="41F114AC" w14:textId="5277A6A8" w:rsidR="00742FA8" w:rsidRDefault="005A31BA">
      <w:r>
        <w:rPr>
          <w:rFonts w:eastAsia="Times New Roman" w:cs="Times New Roman"/>
        </w:rPr>
        <w:t>Drawdown accounts are just another name for process steps that necessarily occur when the government contracts for goods and services.</w:t>
      </w:r>
      <w:r w:rsidR="00534845">
        <w:rPr>
          <w:rFonts w:eastAsia="Times New Roman" w:cs="Times New Roman"/>
        </w:rPr>
        <w:t xml:space="preserve"> </w:t>
      </w:r>
      <w:r>
        <w:rPr>
          <w:rFonts w:eastAsia="Times New Roman" w:cs="Times New Roman"/>
        </w:rPr>
        <w:t>In the end, this is a “solution” in name only.</w:t>
      </w:r>
    </w:p>
    <w:p w14:paraId="58B2D809" w14:textId="77777777" w:rsidR="00742FA8" w:rsidRDefault="005A31BA">
      <w:r>
        <w:rPr>
          <w:rFonts w:eastAsia="Times New Roman" w:cs="Times New Roman"/>
          <w:b/>
          <w:i/>
        </w:rPr>
        <w:t>Pros:</w:t>
      </w:r>
      <w:r>
        <w:rPr>
          <w:rFonts w:eastAsia="Times New Roman" w:cs="Times New Roman"/>
        </w:rPr>
        <w:t xml:space="preserve"> Allows customers to realize elasticity and flexibility benefits of cloud services. </w:t>
      </w:r>
    </w:p>
    <w:p w14:paraId="6016AB08" w14:textId="4AC56067" w:rsidR="00742FA8" w:rsidRDefault="005A31BA">
      <w:r>
        <w:rPr>
          <w:rFonts w:eastAsia="Times New Roman" w:cs="Times New Roman"/>
          <w:b/>
          <w:i/>
        </w:rPr>
        <w:t>Cons:</w:t>
      </w:r>
      <w:r>
        <w:rPr>
          <w:rFonts w:eastAsia="Times New Roman" w:cs="Times New Roman"/>
        </w:rPr>
        <w:t xml:space="preserve"> Burdensome bookkeeping and effort for either the </w:t>
      </w:r>
      <w:r w:rsidR="00B0443B">
        <w:rPr>
          <w:rFonts w:eastAsia="Times New Roman" w:cs="Times New Roman"/>
        </w:rPr>
        <w:t>CO</w:t>
      </w:r>
      <w:r>
        <w:rPr>
          <w:rFonts w:eastAsia="Times New Roman" w:cs="Times New Roman"/>
        </w:rPr>
        <w:t xml:space="preserve"> or the vendor as usage can be unpredictable.</w:t>
      </w:r>
    </w:p>
    <w:p w14:paraId="60AC42F9" w14:textId="0CB1CF61" w:rsidR="00742FA8" w:rsidRDefault="005A31BA" w:rsidP="00A76CF5">
      <w:pPr>
        <w:pStyle w:val="Heading3"/>
      </w:pPr>
      <w:r>
        <w:t>Approach 3: Subscription Based</w:t>
      </w:r>
      <w:r w:rsidR="00801F70" w:rsidRPr="00801F70">
        <w:t xml:space="preserve"> </w:t>
      </w:r>
    </w:p>
    <w:p w14:paraId="4B9227F8" w14:textId="490CA1A0" w:rsidR="00742FA8" w:rsidRDefault="005A31BA" w:rsidP="00EB05DA">
      <w:r>
        <w:t>Under the subscription model of CSP billing, a fixed amount of computing is bundled together for a recurring fixed monthly price.</w:t>
      </w:r>
      <w:r w:rsidR="00534845">
        <w:t xml:space="preserve"> </w:t>
      </w:r>
      <w:r>
        <w:t>The agency may consume all or part of the bundled computing resources each month.</w:t>
      </w:r>
      <w:r w:rsidR="00534845">
        <w:t xml:space="preserve"> </w:t>
      </w:r>
      <w:r>
        <w:t>If the agency does not use the entire bundle during the month, the remainder is lost.</w:t>
      </w:r>
      <w:r w:rsidR="00534845">
        <w:t xml:space="preserve"> </w:t>
      </w:r>
      <w:r>
        <w:t>Thus</w:t>
      </w:r>
      <w:r w:rsidR="00E76D15">
        <w:t>,</w:t>
      </w:r>
      <w:r>
        <w:t xml:space="preserve"> an agency which lets an FFP contract for cloud computing receives the benefit of knowing exactly how much each monthly invoice amount will be.</w:t>
      </w:r>
      <w:r w:rsidR="00534845">
        <w:t xml:space="preserve"> </w:t>
      </w:r>
      <w:r>
        <w:t>But through the “use or lose” aspect of this contract type, the agency may not realize the pay only for what you use cost savings benefit of cloud computing metered billing.</w:t>
      </w:r>
    </w:p>
    <w:p w14:paraId="411422F2" w14:textId="77777777" w:rsidR="00742FA8" w:rsidRDefault="005A31BA">
      <w:r>
        <w:rPr>
          <w:rFonts w:eastAsia="Times New Roman" w:cs="Times New Roman"/>
        </w:rPr>
        <w:t>The government determines upfront what the needs will be and obligates the money to fund that level. The overall number is divided by 12 to determine the monthly amount to be paid. Each month there is a standard invoice of 1/12th of the funding at set invoice level. The government goes into it knowing that they will pay for 10k units each month whether they fully use it or not.</w:t>
      </w:r>
    </w:p>
    <w:p w14:paraId="3C8D6D30" w14:textId="4B716C7E" w:rsidR="00742FA8" w:rsidRDefault="005A31BA">
      <w:r>
        <w:rPr>
          <w:rFonts w:eastAsia="Times New Roman" w:cs="Times New Roman"/>
          <w:b/>
          <w:i/>
        </w:rPr>
        <w:t xml:space="preserve">Pros: </w:t>
      </w:r>
      <w:r>
        <w:rPr>
          <w:rFonts w:eastAsia="Times New Roman" w:cs="Times New Roman"/>
        </w:rPr>
        <w:t>This option works well if the hosting options are consistent throughout the life of the contract.</w:t>
      </w:r>
      <w:r w:rsidR="00534845">
        <w:rPr>
          <w:rFonts w:eastAsia="Times New Roman" w:cs="Times New Roman"/>
        </w:rPr>
        <w:t xml:space="preserve"> </w:t>
      </w:r>
      <w:r>
        <w:rPr>
          <w:rFonts w:eastAsia="Times New Roman" w:cs="Times New Roman"/>
        </w:rPr>
        <w:t xml:space="preserve">There is low risk, </w:t>
      </w:r>
      <w:r w:rsidR="001C129E">
        <w:rPr>
          <w:rFonts w:eastAsia="Times New Roman" w:cs="Times New Roman"/>
        </w:rPr>
        <w:t xml:space="preserve">a </w:t>
      </w:r>
      <w:r>
        <w:rPr>
          <w:rFonts w:eastAsia="Times New Roman" w:cs="Times New Roman"/>
        </w:rPr>
        <w:t>certainty of forecasted utilization</w:t>
      </w:r>
      <w:r w:rsidR="001C129E">
        <w:rPr>
          <w:rFonts w:eastAsia="Times New Roman" w:cs="Times New Roman"/>
        </w:rPr>
        <w:t>,</w:t>
      </w:r>
      <w:r>
        <w:rPr>
          <w:rFonts w:eastAsia="Times New Roman" w:cs="Times New Roman"/>
        </w:rPr>
        <w:t xml:space="preserve"> and is relatively simple to execute. </w:t>
      </w:r>
    </w:p>
    <w:p w14:paraId="434A8367" w14:textId="34FF7CE8" w:rsidR="00023552" w:rsidRDefault="005A31BA">
      <w:pPr>
        <w:rPr>
          <w:rFonts w:eastAsia="Times New Roman" w:cs="Times New Roman"/>
        </w:rPr>
      </w:pPr>
      <w:r>
        <w:rPr>
          <w:rFonts w:eastAsia="Times New Roman" w:cs="Times New Roman"/>
          <w:b/>
          <w:i/>
        </w:rPr>
        <w:t>Cons:</w:t>
      </w:r>
      <w:r>
        <w:rPr>
          <w:rFonts w:eastAsia="Times New Roman" w:cs="Times New Roman"/>
        </w:rPr>
        <w:t xml:space="preserve"> Government will typically add a buffer which ends up leaving money on the table. The CO obligates $100k per month for what should be $60k. This method nullifies the purpose of cloud allowing payment for what is actually consumed. </w:t>
      </w:r>
    </w:p>
    <w:p w14:paraId="3387BDD4" w14:textId="77777777" w:rsidR="00742FA8" w:rsidRDefault="005A31BA" w:rsidP="00A76CF5">
      <w:pPr>
        <w:pStyle w:val="Heading3"/>
      </w:pPr>
      <w:r>
        <w:t>Conclusion</w:t>
      </w:r>
    </w:p>
    <w:p w14:paraId="798A2DC7" w14:textId="2AA1BF67" w:rsidR="00742FA8" w:rsidRDefault="005A31BA" w:rsidP="00EB05DA">
      <w:r>
        <w:t>The Federal government’s existing methods of buying cloud services (</w:t>
      </w:r>
      <w:r w:rsidR="00B742F6">
        <w:t>i.e</w:t>
      </w:r>
      <w:r>
        <w:t xml:space="preserve">., optional CLINs, drawdown accounts, and subscription models) do not effectively address the problem of demand elasticity and portability. They are ultimately minor variants in contracting structure, business financial process emphasis, or product re-characterizations that only </w:t>
      </w:r>
      <w:r w:rsidR="00E76D15">
        <w:t xml:space="preserve">help </w:t>
      </w:r>
      <w:r>
        <w:t>incrementally by shifting trade-offs without providing complete solutions. None of these methods provide for a complete realization of benefits of cloud computing by providing effective means for the government to both consume and pay only for the resources it needs and uses.</w:t>
      </w:r>
      <w:r w:rsidR="00534845">
        <w:t xml:space="preserve"> </w:t>
      </w:r>
      <w:r w:rsidR="00C0426E">
        <w:t>A potenti</w:t>
      </w:r>
      <w:r w:rsidR="00F14D62">
        <w:t xml:space="preserve">al solution to this might explicitly allow for cloud computing resource units to be treated, </w:t>
      </w:r>
      <w:r w:rsidR="008275A0">
        <w:t>including</w:t>
      </w:r>
      <w:r w:rsidR="00F14D62">
        <w:t xml:space="preserve"> </w:t>
      </w:r>
      <w:r w:rsidR="00205C65">
        <w:t>associated</w:t>
      </w:r>
      <w:r w:rsidR="00F14D62">
        <w:t xml:space="preserve"> </w:t>
      </w:r>
      <w:r w:rsidR="008275A0">
        <w:t xml:space="preserve">oversight risk, like labor hour rates (fixed unit price) in T&amp;M contracts. </w:t>
      </w:r>
    </w:p>
    <w:p w14:paraId="02F7C8C0" w14:textId="0E1DCC99" w:rsidR="00DF3CB7" w:rsidRDefault="005A31BA" w:rsidP="00E122BF">
      <w:pPr>
        <w:pStyle w:val="Heading2"/>
      </w:pPr>
      <w:bookmarkStart w:id="19" w:name="_Toc487802618"/>
      <w:r>
        <w:t>Cloud Security Considerations</w:t>
      </w:r>
      <w:bookmarkEnd w:id="19"/>
    </w:p>
    <w:p w14:paraId="36A05F44" w14:textId="35C9269B" w:rsidR="007573D3" w:rsidRPr="007573D3" w:rsidRDefault="007573D3" w:rsidP="00D070F3">
      <w:r>
        <w:t>Providing for the security of IT systems is a well-established process within FISMA</w:t>
      </w:r>
      <w:r w:rsidR="00D85030">
        <w:t xml:space="preserve">. </w:t>
      </w:r>
      <w:r>
        <w:t xml:space="preserve">Cloud computing constitutes a subset of system deployment methods that </w:t>
      </w:r>
      <w:r w:rsidR="008700D4">
        <w:t xml:space="preserve">can necessitate </w:t>
      </w:r>
      <w:r>
        <w:t xml:space="preserve">fresh </w:t>
      </w:r>
      <w:r w:rsidR="008700D4">
        <w:t xml:space="preserve">approaches for implementing IT system security versus traditional </w:t>
      </w:r>
      <w:r w:rsidR="00AA4A46">
        <w:t>on-premise</w:t>
      </w:r>
      <w:r w:rsidR="008700D4">
        <w:t xml:space="preserve"> deployment methods</w:t>
      </w:r>
      <w:r w:rsidR="00D85030">
        <w:t xml:space="preserve">. </w:t>
      </w:r>
      <w:r w:rsidR="008700D4">
        <w:t xml:space="preserve">The following cloud security considerations are intended to focus attention on those topics </w:t>
      </w:r>
      <w:r w:rsidR="00CA5C81">
        <w:t>most likely to be affected by the shift to a cloud computing model</w:t>
      </w:r>
      <w:r w:rsidR="00DA4C15">
        <w:t>.</w:t>
      </w:r>
    </w:p>
    <w:p w14:paraId="217D3E26" w14:textId="2B1B6C26" w:rsidR="00DF3CB7" w:rsidRPr="00AA4889" w:rsidRDefault="00DF3CB7" w:rsidP="00A76CF5">
      <w:pPr>
        <w:pStyle w:val="Heading3"/>
      </w:pPr>
      <w:r w:rsidRPr="00AA4889">
        <w:t xml:space="preserve">Risk Assessment </w:t>
      </w:r>
    </w:p>
    <w:p w14:paraId="5610B237" w14:textId="0C40E84B" w:rsidR="00DF3CB7" w:rsidRDefault="00DF3CB7" w:rsidP="00B544D0">
      <w:r>
        <w:t xml:space="preserve">Any agency or organization </w:t>
      </w:r>
      <w:r w:rsidR="000D058F">
        <w:t xml:space="preserve">contemplating a move to cloud computing will </w:t>
      </w:r>
      <w:r>
        <w:t xml:space="preserve">need to perform a security risk assessment. </w:t>
      </w:r>
      <w:r w:rsidR="000D058F">
        <w:t xml:space="preserve">Questions regarding data type and classification, </w:t>
      </w:r>
      <w:r w:rsidR="000D058F" w:rsidRPr="006E4BEF">
        <w:t>data hosting and storage, and</w:t>
      </w:r>
      <w:r w:rsidR="000D058F">
        <w:t xml:space="preserve"> business continuity need to be addressed </w:t>
      </w:r>
      <w:r w:rsidR="00A644B9">
        <w:t>early in the</w:t>
      </w:r>
      <w:r w:rsidR="000D058F">
        <w:t xml:space="preserve"> procurement process.</w:t>
      </w:r>
    </w:p>
    <w:p w14:paraId="6E2EFFEA" w14:textId="5CEDFB28" w:rsidR="000D058F" w:rsidRDefault="000D058F" w:rsidP="00B544D0">
      <w:r>
        <w:t xml:space="preserve">In the case of some government agency customers, when using a GWAC or other purchasing vehicle, individual or specific security needs may need to be addressed at the task order </w:t>
      </w:r>
      <w:r w:rsidR="009F2CBF">
        <w:t xml:space="preserve">(TO) </w:t>
      </w:r>
      <w:r>
        <w:t>level.</w:t>
      </w:r>
    </w:p>
    <w:p w14:paraId="30C904E6" w14:textId="64784279" w:rsidR="000D058F" w:rsidRPr="00AA4889" w:rsidRDefault="000D058F" w:rsidP="00A76CF5">
      <w:pPr>
        <w:pStyle w:val="Heading3"/>
      </w:pPr>
      <w:r w:rsidRPr="00AA4889">
        <w:t>Data Types</w:t>
      </w:r>
    </w:p>
    <w:p w14:paraId="749B1351" w14:textId="693C3EB1" w:rsidR="000D058F" w:rsidRDefault="000D058F" w:rsidP="00B544D0">
      <w:r>
        <w:t xml:space="preserve">One of the most important questions that needs to be addressed when considering cloud migration is the security categorization of the data. Security </w:t>
      </w:r>
      <w:r w:rsidR="00DE7EF1">
        <w:t>categorization and</w:t>
      </w:r>
      <w:r>
        <w:t xml:space="preserve"> mission criticality will determine what type, size</w:t>
      </w:r>
      <w:r w:rsidR="00B742F6">
        <w:t>,</w:t>
      </w:r>
      <w:r>
        <w:t xml:space="preserve"> and flavor of cloud computing the customer agency will want to consider</w:t>
      </w:r>
      <w:r w:rsidR="008700D4">
        <w:t>.</w:t>
      </w:r>
    </w:p>
    <w:p w14:paraId="35DA3EF6" w14:textId="70BBC867" w:rsidR="000D058F" w:rsidRPr="00AA4889" w:rsidRDefault="000D058F" w:rsidP="00A76CF5">
      <w:pPr>
        <w:pStyle w:val="Heading3"/>
      </w:pPr>
      <w:r w:rsidRPr="00AA4889">
        <w:t>Geolocation</w:t>
      </w:r>
    </w:p>
    <w:p w14:paraId="6F040F13" w14:textId="54C85A24" w:rsidR="000D058F" w:rsidRDefault="00DE7EF1" w:rsidP="00B544D0">
      <w:r>
        <w:t xml:space="preserve">Do you know where your cloud files are? Or where they will be? </w:t>
      </w:r>
      <w:r w:rsidR="00B544D0">
        <w:t>More importantly, what are the policie</w:t>
      </w:r>
      <w:r w:rsidR="00D85030">
        <w:t>s of your agency on the matter?</w:t>
      </w:r>
      <w:r w:rsidR="00B544D0">
        <w:t xml:space="preserve"> </w:t>
      </w:r>
      <w:r>
        <w:t xml:space="preserve">Due to the rapid implementation of cloud computing, many agencies are behind in development of policies pertaining to cloud storage and hosting. Many cloud service providers have data centers that span the globe and some CSPs utilize distributed storage systems. </w:t>
      </w:r>
      <w:r w:rsidR="007849FF">
        <w:t xml:space="preserve">If you have a requirement that your data be </w:t>
      </w:r>
      <w:r w:rsidR="00A644B9">
        <w:t>stored in the contiguous United States (</w:t>
      </w:r>
      <w:r w:rsidR="007849FF">
        <w:t>CONUS</w:t>
      </w:r>
      <w:r w:rsidR="00A644B9">
        <w:t>)</w:t>
      </w:r>
      <w:r w:rsidR="007849FF">
        <w:t xml:space="preserve">, you need to consider that when choosing your cloud service provider. </w:t>
      </w:r>
    </w:p>
    <w:p w14:paraId="2A68A97E" w14:textId="03074558" w:rsidR="00DE7EF1" w:rsidRDefault="00DE7EF1" w:rsidP="00A76CF5">
      <w:pPr>
        <w:pStyle w:val="Heading3"/>
      </w:pPr>
      <w:r>
        <w:t>Personnel</w:t>
      </w:r>
    </w:p>
    <w:p w14:paraId="5E18BA4F" w14:textId="4A94B8CB" w:rsidR="00681FB8" w:rsidRDefault="00072D50" w:rsidP="00B544D0">
      <w:r>
        <w:t xml:space="preserve">Another critical security area to consider when moving to the cloud is the need for personnel. Do you have the expertise in house to manage your cloud implementation? </w:t>
      </w:r>
      <w:r w:rsidR="00D8176E">
        <w:t xml:space="preserve">Does your agency have citizenship requirements for employees? Are you aware that some CSPs have help desk personnel in locations outside of the continental US? Will your CSP have access to your data or will you encrypt everything before storing it? (In the case of Storage as a Service) </w:t>
      </w:r>
    </w:p>
    <w:p w14:paraId="4FD2715E" w14:textId="582F430F" w:rsidR="000D058F" w:rsidRPr="00DF3CB7" w:rsidRDefault="00681FB8" w:rsidP="00A76CF5">
      <w:pPr>
        <w:pStyle w:val="Heading3"/>
      </w:pPr>
      <w:r w:rsidRPr="00B742F6">
        <w:t>Compliance Issues</w:t>
      </w:r>
    </w:p>
    <w:p w14:paraId="539F9B82" w14:textId="77777777" w:rsidR="00C04683" w:rsidRPr="00C04683" w:rsidRDefault="00C04683" w:rsidP="00A76CF5">
      <w:r w:rsidRPr="00C04683">
        <w:t>A cloud computing environment, whether self-provided or provided by a third-party, must adhere to all applicable government security guidelines and mandates just as with a traditional on-premises environment. As an extension of the on-premises environment, the cloud computing environment must pass through the Assessment and Authorization (A&amp;A) process with the final product being issued an Authorization to Operate (ATO) that the agency itself must sign off on.</w:t>
      </w:r>
    </w:p>
    <w:p w14:paraId="6728BAF4" w14:textId="77777777" w:rsidR="00C04683" w:rsidRPr="00C04683" w:rsidRDefault="00C04683" w:rsidP="00A76CF5">
      <w:r w:rsidRPr="00C04683">
        <w:t xml:space="preserve">Third-party CSPs may be considered for a Joint Authorization Board (JAB) Provisional Authorization to Operate (P-ATO). These are issued by the Federal Risk and Authorization Management Program, or FedRAMP. FedRAMP, is a government-wide program that provides a standardized approach to security assessment, authorization, and continuous monitoring for cloud products and services. </w:t>
      </w:r>
    </w:p>
    <w:p w14:paraId="2DB52BD3" w14:textId="77777777" w:rsidR="00C04683" w:rsidRPr="00C04683" w:rsidRDefault="00C04683" w:rsidP="00A76CF5">
      <w:r w:rsidRPr="00C04683">
        <w:t>JAB P-ATOs are issued via a prioritization process in which a business case is submitted to the FedRAMP program office. The business case is reviewed and examined against the current criteria, and if selected, the cloud solution will be reviewed and authorized via the JAB. The authorization package is then made available for review by the purchasing agency. JAB authorizations are only granted on the CSPs environment and contain a Customer Responsibility Matrix (CRM). The CRM contains the controls that are shared by, or the responsibility of, the purchasing agency. The JAB ATO may be leveraged by an agency and be included in an agency’s overall ATO package. Agency use of any services outside of the scope of the leveraged ATO will require their security evaluation and assumption of the associated additional risk. This indicates a required vigilance for security on the part of consuming organizations to the services and solutions deployed.</w:t>
      </w:r>
    </w:p>
    <w:p w14:paraId="498B972F" w14:textId="77777777" w:rsidR="00C04683" w:rsidRPr="00C04683" w:rsidRDefault="00C04683" w:rsidP="00A76CF5">
      <w:r w:rsidRPr="00C04683">
        <w:t xml:space="preserve">It is important to note that the authorization package should be reviewed by the purchasing agency before a decision to acquire the cloud solution is made since each FedRAMP ATO covers only a particular cloud service offering of the CSP of which they may have several. CSP’s with several cloud service offerings will have separate FedRAMP ATO’s for each offering. The scope of each ATO is defined by the security boundary established within the particular solution covered and, more importantly, may not cover all services marketed by the CSP as being part of the offering. </w:t>
      </w:r>
    </w:p>
    <w:p w14:paraId="1FD076A6" w14:textId="77777777" w:rsidR="00E30374" w:rsidRDefault="00C04683" w:rsidP="00A76CF5">
      <w:r w:rsidRPr="00C04683">
        <w:t xml:space="preserve">These same scenarios apply to ATOs issued by other agencies which may also be leveraged by the purchasing agency. </w:t>
      </w:r>
    </w:p>
    <w:p w14:paraId="4BA8240A" w14:textId="7333A867" w:rsidR="00D71171" w:rsidRDefault="00D71171" w:rsidP="00A76CF5">
      <w:pPr>
        <w:pStyle w:val="Heading3"/>
      </w:pPr>
      <w:r>
        <w:t xml:space="preserve">Other </w:t>
      </w:r>
      <w:r w:rsidRPr="00A76CF5">
        <w:t>Technical</w:t>
      </w:r>
      <w:r>
        <w:t xml:space="preserve"> Considerations</w:t>
      </w:r>
    </w:p>
    <w:p w14:paraId="4C1D1873" w14:textId="5AD1789E" w:rsidR="00D71171" w:rsidRDefault="00D71171" w:rsidP="00EB05DA">
      <w:r>
        <w:t xml:space="preserve">While there are many </w:t>
      </w:r>
      <w:r w:rsidR="00AA4A46">
        <w:t xml:space="preserve">common </w:t>
      </w:r>
      <w:r>
        <w:t xml:space="preserve">risks to evaluate, technical considerations still remain. Be sure </w:t>
      </w:r>
      <w:r w:rsidR="0002225B">
        <w:t>to ask your potential CSP about the following:</w:t>
      </w:r>
    </w:p>
    <w:p w14:paraId="26CF4698" w14:textId="5CAB9EF3" w:rsidR="0002225B" w:rsidRPr="007B31FA" w:rsidRDefault="0002225B" w:rsidP="004133C5">
      <w:pPr>
        <w:pStyle w:val="BodyBullet1"/>
      </w:pPr>
      <w:r w:rsidRPr="00AA4889">
        <w:rPr>
          <w:b/>
        </w:rPr>
        <w:t>Application and Service Portability</w:t>
      </w:r>
      <w:r w:rsidRPr="007B31FA">
        <w:t xml:space="preserve"> – Difficult for customer to migrate from cloud service provider to another or back to in-house. </w:t>
      </w:r>
    </w:p>
    <w:p w14:paraId="319D93D8" w14:textId="42386875" w:rsidR="0002225B" w:rsidRPr="007B31FA" w:rsidRDefault="0002225B" w:rsidP="004133C5">
      <w:pPr>
        <w:pStyle w:val="BodyBullet1"/>
      </w:pPr>
      <w:r w:rsidRPr="00AA4889">
        <w:rPr>
          <w:b/>
        </w:rPr>
        <w:t>Isolation Failure</w:t>
      </w:r>
      <w:r w:rsidRPr="007B31FA">
        <w:t xml:space="preserve"> – Failure of service providers’ mechanisms that separate storage, memory</w:t>
      </w:r>
      <w:r w:rsidR="004133C5">
        <w:t>,</w:t>
      </w:r>
      <w:r w:rsidRPr="007B31FA">
        <w:t xml:space="preserve"> and routing.</w:t>
      </w:r>
    </w:p>
    <w:p w14:paraId="6CEAB27C" w14:textId="62646481" w:rsidR="0002225B" w:rsidRPr="007B31FA" w:rsidRDefault="0002225B" w:rsidP="004133C5">
      <w:pPr>
        <w:pStyle w:val="BodyBullet1"/>
      </w:pPr>
      <w:r w:rsidRPr="00AA4889">
        <w:rPr>
          <w:b/>
        </w:rPr>
        <w:t>Management Interface Compromise</w:t>
      </w:r>
      <w:r w:rsidR="004133C5">
        <w:t xml:space="preserve"> – M</w:t>
      </w:r>
      <w:r w:rsidRPr="007B31FA">
        <w:t>anagement interfaces of public clouds are often Internet accessible and pose additional risk when combined with remote access and browser vulnerabilities.</w:t>
      </w:r>
    </w:p>
    <w:p w14:paraId="1C578CF9" w14:textId="26E28E45" w:rsidR="0002225B" w:rsidRPr="007B31FA" w:rsidRDefault="0002225B" w:rsidP="004133C5">
      <w:pPr>
        <w:pStyle w:val="BodyBullet1"/>
      </w:pPr>
      <w:r w:rsidRPr="00AA4889">
        <w:rPr>
          <w:b/>
        </w:rPr>
        <w:t>Data Protection</w:t>
      </w:r>
      <w:r w:rsidRPr="007B31FA">
        <w:t xml:space="preserve"> – The customer has no real insight into the CSPs data handling practices. </w:t>
      </w:r>
    </w:p>
    <w:p w14:paraId="5FB1290C" w14:textId="3F7394AE" w:rsidR="0002225B" w:rsidRPr="007B31FA" w:rsidRDefault="0002225B" w:rsidP="004133C5">
      <w:pPr>
        <w:pStyle w:val="BodyBullet1"/>
      </w:pPr>
      <w:r w:rsidRPr="00AA4889">
        <w:rPr>
          <w:b/>
        </w:rPr>
        <w:t>Insecure or Incomplete Data Deletion</w:t>
      </w:r>
      <w:r w:rsidRPr="007B31FA">
        <w:t xml:space="preserve"> – In the case of multiple tenancies and the reuse of hardware resources there is a risk of untimely or inadequate data destruction</w:t>
      </w:r>
      <w:r w:rsidR="004133C5">
        <w:t>.</w:t>
      </w:r>
    </w:p>
    <w:p w14:paraId="42229C23" w14:textId="7831BEFB" w:rsidR="0002225B" w:rsidRPr="007B31FA" w:rsidRDefault="0002225B" w:rsidP="004133C5">
      <w:pPr>
        <w:pStyle w:val="BodyBullet1"/>
      </w:pPr>
      <w:r w:rsidRPr="00AA4889">
        <w:rPr>
          <w:b/>
        </w:rPr>
        <w:t>Malicious Insider</w:t>
      </w:r>
      <w:r w:rsidRPr="007B31FA">
        <w:t xml:space="preserve"> </w:t>
      </w:r>
      <w:r w:rsidR="00A001A5" w:rsidRPr="007B31FA">
        <w:t>–</w:t>
      </w:r>
      <w:r w:rsidRPr="007B31FA">
        <w:t xml:space="preserve"> </w:t>
      </w:r>
      <w:r w:rsidR="00A001A5" w:rsidRPr="007B31FA">
        <w:t xml:space="preserve">Cloud architectures require roles that are extremely high risk, and the potential damage caused by a malicious insider could be far greater. </w:t>
      </w:r>
    </w:p>
    <w:p w14:paraId="7C94FBB6" w14:textId="310D2F0C" w:rsidR="00742FA8" w:rsidRDefault="005A31BA" w:rsidP="00EB05DA">
      <w:r>
        <w:t xml:space="preserve">OMB mandates that all agencies use only CSPs that are </w:t>
      </w:r>
      <w:r w:rsidR="001C129E">
        <w:t xml:space="preserve">compliant with </w:t>
      </w:r>
      <w:r>
        <w:t xml:space="preserve">FedRAMP </w:t>
      </w:r>
      <w:r w:rsidR="001C129E">
        <w:t xml:space="preserve">security standards </w:t>
      </w:r>
      <w:r>
        <w:t>for their cloud computing needs.</w:t>
      </w:r>
      <w:r w:rsidR="00534845">
        <w:t xml:space="preserve"> </w:t>
      </w:r>
      <w:r>
        <w:t xml:space="preserve">It is important for agencies to write this into their requirements documents and solicitations </w:t>
      </w:r>
      <w:r w:rsidR="001C129E">
        <w:t>as directed and provided by FedRAMP</w:t>
      </w:r>
      <w:r w:rsidR="00AA4A46">
        <w:t>.</w:t>
      </w:r>
      <w:r w:rsidR="00094063">
        <w:rPr>
          <w:rStyle w:val="FootnoteReference"/>
        </w:rPr>
        <w:footnoteReference w:id="6"/>
      </w:r>
    </w:p>
    <w:p w14:paraId="06721C06" w14:textId="59C0EF88" w:rsidR="00742FA8" w:rsidRDefault="005A31BA" w:rsidP="00E122BF">
      <w:pPr>
        <w:pStyle w:val="Heading2"/>
      </w:pPr>
      <w:bookmarkStart w:id="20" w:name="_Toc487802619"/>
      <w:r>
        <w:t xml:space="preserve">Legal and Contractual </w:t>
      </w:r>
      <w:r w:rsidR="000815D0">
        <w:t>Concerns</w:t>
      </w:r>
      <w:bookmarkEnd w:id="20"/>
    </w:p>
    <w:p w14:paraId="62A9BBC3" w14:textId="77777777" w:rsidR="00742FA8" w:rsidRDefault="005A31BA">
      <w:r>
        <w:t xml:space="preserve">There are a host of important legal and contractual clauses to consider when selecting and acquiring a cloud service. In order to utilize Federal best practices and lessons learned and to simplify the acquisition process, an agency should refer to the excellent report by the CIO Council and the Chief Acquisition Officers Council, “Creating Effective Cloud Computing Contracts for the Federal Government: Best Practices for Acquiring IT as a Service.” </w:t>
      </w:r>
      <w:r>
        <w:rPr>
          <w:vertAlign w:val="superscript"/>
        </w:rPr>
        <w:footnoteReference w:id="7"/>
      </w:r>
      <w:r>
        <w:t xml:space="preserve"> This document contains a substantial amount of useful information and should be an agency’s first resource on legal and contractual topics such as: </w:t>
      </w:r>
    </w:p>
    <w:p w14:paraId="249520C7" w14:textId="77777777" w:rsidR="00742FA8" w:rsidRPr="00F125FB" w:rsidRDefault="005A31BA" w:rsidP="004133C5">
      <w:pPr>
        <w:pStyle w:val="BodyBullet1"/>
      </w:pPr>
      <w:r w:rsidRPr="00F125FB">
        <w:t xml:space="preserve">CSP and End User Agreements </w:t>
      </w:r>
    </w:p>
    <w:p w14:paraId="08172C37" w14:textId="77777777" w:rsidR="00742FA8" w:rsidRPr="00F125FB" w:rsidRDefault="005A31BA" w:rsidP="004133C5">
      <w:pPr>
        <w:pStyle w:val="BodyBullet1"/>
      </w:pPr>
      <w:r w:rsidRPr="00F125FB">
        <w:t>Service Level Agreements</w:t>
      </w:r>
    </w:p>
    <w:p w14:paraId="7C07FD1D" w14:textId="77777777" w:rsidR="00742FA8" w:rsidRPr="00F125FB" w:rsidRDefault="005A31BA" w:rsidP="004133C5">
      <w:pPr>
        <w:pStyle w:val="BodyBullet1"/>
      </w:pPr>
      <w:r w:rsidRPr="00F125FB">
        <w:t>Privacy</w:t>
      </w:r>
    </w:p>
    <w:p w14:paraId="59863825" w14:textId="77777777" w:rsidR="00742FA8" w:rsidRPr="00F125FB" w:rsidRDefault="005A31BA" w:rsidP="004133C5">
      <w:pPr>
        <w:pStyle w:val="BodyBullet1"/>
      </w:pPr>
      <w:r w:rsidRPr="00F125FB">
        <w:t>E-Discovery</w:t>
      </w:r>
    </w:p>
    <w:p w14:paraId="0D24D1F7" w14:textId="77777777" w:rsidR="00742FA8" w:rsidRPr="00F125FB" w:rsidRDefault="005A31BA" w:rsidP="004133C5">
      <w:pPr>
        <w:pStyle w:val="BodyBullet1"/>
      </w:pPr>
      <w:r w:rsidRPr="00F125FB">
        <w:t>FOIA Access</w:t>
      </w:r>
    </w:p>
    <w:p w14:paraId="5FF42325" w14:textId="6397E04C" w:rsidR="0061759E" w:rsidRPr="00C53939" w:rsidRDefault="005A31BA" w:rsidP="004133C5">
      <w:pPr>
        <w:pStyle w:val="BodyBullet1"/>
      </w:pPr>
      <w:r w:rsidRPr="00F125FB">
        <w:t>Federal Recordkeeping</w:t>
      </w:r>
    </w:p>
    <w:p w14:paraId="33F539F4" w14:textId="2268CE80" w:rsidR="0061759E" w:rsidRPr="0061759E" w:rsidRDefault="0061759E" w:rsidP="00C53939">
      <w:r>
        <w:t>An additional reference tool in use in support of proper cla</w:t>
      </w:r>
      <w:r w:rsidR="00C53939">
        <w:t xml:space="preserve">use development is </w:t>
      </w:r>
      <w:r w:rsidR="004133C5">
        <w:t>located in</w:t>
      </w:r>
      <w:r w:rsidR="00C53939">
        <w:t xml:space="preserve"> </w:t>
      </w:r>
      <w:r w:rsidR="004133C5">
        <w:fldChar w:fldCharType="begin"/>
      </w:r>
      <w:r w:rsidR="004133C5">
        <w:instrText xml:space="preserve"> REF _Ref487725974 \h </w:instrText>
      </w:r>
      <w:r w:rsidR="004133C5">
        <w:fldChar w:fldCharType="separate"/>
      </w:r>
      <w:r w:rsidR="00E122BF">
        <w:t>Appendix: Representative Example Contract Clauses</w:t>
      </w:r>
      <w:r w:rsidR="004133C5">
        <w:fldChar w:fldCharType="end"/>
      </w:r>
      <w:r>
        <w:t>.</w:t>
      </w:r>
    </w:p>
    <w:p w14:paraId="4C0D7C3A" w14:textId="77777777" w:rsidR="00FF62A8" w:rsidRDefault="005A31BA" w:rsidP="00E122BF">
      <w:pPr>
        <w:pStyle w:val="Heading2"/>
      </w:pPr>
      <w:bookmarkStart w:id="21" w:name="_Toc487802620"/>
      <w:r>
        <w:t xml:space="preserve">Data </w:t>
      </w:r>
      <w:r w:rsidR="00FF62A8">
        <w:t>in Clouds</w:t>
      </w:r>
      <w:bookmarkEnd w:id="21"/>
    </w:p>
    <w:p w14:paraId="3C63A5F8" w14:textId="77777777" w:rsidR="00742FA8" w:rsidRDefault="005A31BA" w:rsidP="00A76CF5">
      <w:pPr>
        <w:pStyle w:val="Heading3"/>
      </w:pPr>
      <w:r>
        <w:t>Residency</w:t>
      </w:r>
    </w:p>
    <w:p w14:paraId="55E30052" w14:textId="5E1BD195" w:rsidR="00742FA8" w:rsidRDefault="005A31BA">
      <w:r>
        <w:t xml:space="preserve">When acquiring cloud computing solutions, an important factor to consider is the physical location of the where the data resides. Though the data resides in the “cloud,” an agency may still have requirements (legal, regulatory, or architectural) or preferences about where the data is located that should be specified to the CSP during the negotiation of the purchase. For example, a critical requirement for some agencies is that the data reside </w:t>
      </w:r>
      <w:r w:rsidR="004133C5">
        <w:t>CONUS</w:t>
      </w:r>
      <w:r>
        <w:t xml:space="preserve"> and not be routed through or stored on infrastructure outside of the contiguous U.S. (OCONUS), as can happen when selecting a CSP with global infrastructure. Whatever the requirement may be, it should be clearly communicated with the CSP and written into the contract to ensure obligations are met. </w:t>
      </w:r>
    </w:p>
    <w:p w14:paraId="009032D8" w14:textId="77777777" w:rsidR="00742FA8" w:rsidRDefault="005A31BA" w:rsidP="00A76CF5">
      <w:pPr>
        <w:pStyle w:val="Heading3"/>
      </w:pPr>
      <w:r>
        <w:t>Data Ownership / Rights</w:t>
      </w:r>
    </w:p>
    <w:p w14:paraId="36FB2EE8" w14:textId="3B81FDD9" w:rsidR="00742FA8" w:rsidRDefault="005A31BA" w:rsidP="00EB05DA">
      <w:r>
        <w:t>Another critically important requirement is ensuring that the agency acquiring cloud services retains ownership to the data it stores and the rights to access, modify, or migrate that data if and when it chooses.</w:t>
      </w:r>
      <w:r w:rsidR="00534845">
        <w:t xml:space="preserve"> </w:t>
      </w:r>
      <w:r>
        <w:t xml:space="preserve">Such an agreement ensures that the Government is able to select and migrate to another CSP if it is not satisfied with the services it receives. This point must </w:t>
      </w:r>
      <w:r w:rsidR="00CD4D93">
        <w:t xml:space="preserve">always </w:t>
      </w:r>
      <w:r>
        <w:t>be made clear with the CSP prior to the acquisition and specified in writing in the final contract.</w:t>
      </w:r>
    </w:p>
    <w:p w14:paraId="5D435B17" w14:textId="77777777" w:rsidR="00742FA8" w:rsidRDefault="005A31BA" w:rsidP="00EB05DA">
      <w:r>
        <w:t>In addition, ownership rights are especially important to negotiate beforehand to address potential data breaches. It is a best practice to ensure that the CSP is held accountable for data breaches, even as they do not own the data. According to the CIO Council and the Chief Acquisition Officers Council, “Federal agencies should make explicit in cloud computing contracts that CSPs indemnify Federal agencies if a breach should occur and the CSP should be required to provide adequate capital and/or insurance to support their indemnity. In instances where expected standards are not met, then the CSP must be required to assume the liability if an incident occurs directly related to the lack of compliance.”</w:t>
      </w:r>
      <w:r>
        <w:rPr>
          <w:vertAlign w:val="superscript"/>
        </w:rPr>
        <w:footnoteReference w:id="8"/>
      </w:r>
      <w:r>
        <w:t xml:space="preserve"> </w:t>
      </w:r>
    </w:p>
    <w:p w14:paraId="7C0A5A5E" w14:textId="77777777" w:rsidR="00742FA8" w:rsidRDefault="005A31BA" w:rsidP="00EB05DA">
      <w:r>
        <w:t>Greater detail on data ownership and rights pertaining to termination of service, breaches, and information and records management can be found in the CIO Council report.</w:t>
      </w:r>
      <w:r>
        <w:rPr>
          <w:vertAlign w:val="superscript"/>
        </w:rPr>
        <w:footnoteReference w:id="9"/>
      </w:r>
      <w:r>
        <w:t xml:space="preserve"> </w:t>
      </w:r>
    </w:p>
    <w:p w14:paraId="3439C042" w14:textId="6D2DB722" w:rsidR="00742FA8" w:rsidRDefault="005A31BA" w:rsidP="00E122BF">
      <w:pPr>
        <w:pStyle w:val="Heading2"/>
      </w:pPr>
      <w:bookmarkStart w:id="22" w:name="_Toc487802621"/>
      <w:r>
        <w:t>Choosing a R</w:t>
      </w:r>
      <w:r w:rsidR="004133C5">
        <w:t xml:space="preserve">equirements Document Type and </w:t>
      </w:r>
      <w:r>
        <w:t>Solicitation Type</w:t>
      </w:r>
      <w:bookmarkEnd w:id="22"/>
      <w:r>
        <w:t xml:space="preserve"> </w:t>
      </w:r>
    </w:p>
    <w:p w14:paraId="26918469" w14:textId="315F6763" w:rsidR="00742FA8" w:rsidRDefault="005A31BA" w:rsidP="00EB05DA">
      <w:r>
        <w:t>In the current acquisition environment, agencies use a performance work statement</w:t>
      </w:r>
      <w:r w:rsidR="00BD2200">
        <w:t xml:space="preserve"> (PWS)</w:t>
      </w:r>
      <w:r>
        <w:t xml:space="preserve"> by default. This requirements document is consistent with FAR guidance and normally provides an exceptional opportunity to obtain necessary services</w:t>
      </w:r>
      <w:r w:rsidR="00ED7F9A">
        <w:t xml:space="preserve"> with demonstrable outcomes aligned to the mission</w:t>
      </w:r>
      <w:r w:rsidR="008D6011">
        <w:t xml:space="preserve"> of the Federal Government</w:t>
      </w:r>
      <w:r>
        <w:t xml:space="preserve">. The PWS is not always the best choice and </w:t>
      </w:r>
      <w:r w:rsidR="006F0096">
        <w:t>in some situations</w:t>
      </w:r>
      <w:r>
        <w:t xml:space="preserve"> when acquiring cloud </w:t>
      </w:r>
      <w:r w:rsidR="008D6011">
        <w:t xml:space="preserve">services </w:t>
      </w:r>
      <w:r w:rsidR="006F0096">
        <w:t>other options may be better suited.</w:t>
      </w:r>
      <w:r>
        <w:t xml:space="preserve"> The more familiarity an agency has with cloud acquisition</w:t>
      </w:r>
      <w:r w:rsidR="00244C0B">
        <w:t xml:space="preserve"> in combination with its IT acquisition maturity level</w:t>
      </w:r>
      <w:r>
        <w:t xml:space="preserve">, the more likely the agency </w:t>
      </w:r>
      <w:r w:rsidR="006F0096">
        <w:t xml:space="preserve">can successfully leverage </w:t>
      </w:r>
      <w:r>
        <w:t>a PWS. To understand and grasp the nuances requires great familiarity with cloud</w:t>
      </w:r>
      <w:r w:rsidR="00DE2999">
        <w:t xml:space="preserve"> computing</w:t>
      </w:r>
      <w:r w:rsidR="006B03CA">
        <w:t xml:space="preserve"> along with </w:t>
      </w:r>
      <w:r w:rsidR="00244C0B">
        <w:t>the scope</w:t>
      </w:r>
      <w:r w:rsidR="006B03CA">
        <w:t xml:space="preserve"> and intended uses</w:t>
      </w:r>
      <w:r w:rsidR="00244C0B">
        <w:t xml:space="preserve"> of the acquisition</w:t>
      </w:r>
      <w:r>
        <w:t>. For th</w:t>
      </w:r>
      <w:r w:rsidR="006B03CA">
        <w:t>ese</w:t>
      </w:r>
      <w:r>
        <w:t xml:space="preserve"> reason</w:t>
      </w:r>
      <w:r w:rsidR="006B03CA">
        <w:t>s</w:t>
      </w:r>
      <w:r>
        <w:t xml:space="preserve">, cloud computing requirements documents </w:t>
      </w:r>
      <w:r w:rsidR="006B03CA">
        <w:t xml:space="preserve">can be </w:t>
      </w:r>
      <w:r w:rsidR="00392C0E">
        <w:t xml:space="preserve">variously </w:t>
      </w:r>
      <w:r>
        <w:t xml:space="preserve">crafted as </w:t>
      </w:r>
      <w:r w:rsidR="006B03CA">
        <w:t xml:space="preserve">either </w:t>
      </w:r>
      <w:r w:rsidR="0003616D">
        <w:t>a statement of o</w:t>
      </w:r>
      <w:r>
        <w:t xml:space="preserve">bjectives (SOO), </w:t>
      </w:r>
      <w:r w:rsidR="0003616D">
        <w:t>a statement of w</w:t>
      </w:r>
      <w:r w:rsidR="006B03CA">
        <w:t xml:space="preserve">ork (SOW), or </w:t>
      </w:r>
      <w:r>
        <w:t xml:space="preserve">a </w:t>
      </w:r>
      <w:r w:rsidR="008D6011">
        <w:t>PWS.</w:t>
      </w:r>
    </w:p>
    <w:p w14:paraId="49A14D8D" w14:textId="59FFE8A5" w:rsidR="00CE1181" w:rsidRDefault="005A31BA" w:rsidP="00EB05DA">
      <w:r>
        <w:t>Many agencies use a SOO which states the agency goals in a most general sense, allowing vendors more creativity in proposing a solution.</w:t>
      </w:r>
      <w:r w:rsidR="00534845">
        <w:t xml:space="preserve"> </w:t>
      </w:r>
      <w:r>
        <w:t>For instance, instead of naming the number and type of processors needed, the amount of memory and storage, etc., only the projected usage statistics of an application are named.</w:t>
      </w:r>
      <w:r w:rsidR="00534845">
        <w:t xml:space="preserve"> </w:t>
      </w:r>
      <w:r>
        <w:t>Usage statistics such as the number of visits to a website per day, the average page size, the average number of pages viewed per visit, etc., would help make up a SOO.</w:t>
      </w:r>
      <w:r w:rsidR="004C00A4">
        <w:rPr>
          <w:rStyle w:val="FootnoteReference"/>
        </w:rPr>
        <w:footnoteReference w:id="10"/>
      </w:r>
    </w:p>
    <w:p w14:paraId="22F760A9" w14:textId="078FB6FD" w:rsidR="00235A12" w:rsidRDefault="006F369F" w:rsidP="00BE384B">
      <w:pPr>
        <w:pStyle w:val="Caption"/>
      </w:pPr>
      <w:bookmarkStart w:id="23" w:name="_Toc487802635"/>
      <w:r>
        <w:t>Exhibit</w:t>
      </w:r>
      <w:r w:rsidR="00235A12">
        <w:t xml:space="preserve"> </w:t>
      </w:r>
      <w:fldSimple w:instr=" SEQ Exhibit \* ARABIC ">
        <w:r w:rsidR="00E122BF">
          <w:rPr>
            <w:noProof/>
          </w:rPr>
          <w:t>5</w:t>
        </w:r>
      </w:fldSimple>
      <w:r w:rsidR="00235A12">
        <w:t xml:space="preserve"> - Requirements Document Type Benefits</w:t>
      </w:r>
      <w:bookmarkEnd w:id="23"/>
    </w:p>
    <w:p w14:paraId="0019142D" w14:textId="48B2535D" w:rsidR="00CE1181" w:rsidRPr="00EF2E00" w:rsidRDefault="00CE1181" w:rsidP="00EF2E00">
      <w:pPr>
        <w:pStyle w:val="Graphic"/>
        <w:rPr>
          <w:color w:val="1F497D" w:themeColor="text2"/>
        </w:rPr>
      </w:pPr>
      <w:r w:rsidRPr="00CE1181">
        <w:drawing>
          <wp:inline distT="0" distB="0" distL="0" distR="0" wp14:anchorId="3194C1B4" wp14:editId="26B938DF">
            <wp:extent cx="5134517" cy="313230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8052" t="7396" r="5527" b="22309"/>
                    <a:stretch/>
                  </pic:blipFill>
                  <pic:spPr bwMode="auto">
                    <a:xfrm>
                      <a:off x="0" y="0"/>
                      <a:ext cx="5134935" cy="3132561"/>
                    </a:xfrm>
                    <a:prstGeom prst="rect">
                      <a:avLst/>
                    </a:prstGeom>
                    <a:ln>
                      <a:noFill/>
                    </a:ln>
                    <a:extLst>
                      <a:ext uri="{53640926-AAD7-44D8-BBD7-CCE9431645EC}">
                        <a14:shadowObscured xmlns:a14="http://schemas.microsoft.com/office/drawing/2010/main"/>
                      </a:ext>
                    </a:extLst>
                  </pic:spPr>
                </pic:pic>
              </a:graphicData>
            </a:graphic>
          </wp:inline>
        </w:drawing>
      </w:r>
    </w:p>
    <w:p w14:paraId="64170959" w14:textId="263F9141" w:rsidR="00742FA8" w:rsidRDefault="005A31BA" w:rsidP="00EB05DA">
      <w:r>
        <w:t>For cloud computing, requirements documents (e.g., SOO) are generally inserted into a Request for Quotation (RFQ) or a Request for Proposal (RFP) as appropriate. Generally</w:t>
      </w:r>
      <w:r w:rsidR="00BF434D">
        <w:t>,</w:t>
      </w:r>
      <w:r>
        <w:t xml:space="preserve"> an RFQ is used when the path to the IT solution is known and specific pricing is sought for specific cloud services.</w:t>
      </w:r>
      <w:r w:rsidR="00534845">
        <w:t xml:space="preserve"> </w:t>
      </w:r>
      <w:r>
        <w:t>An RFP would be used when the path is not quite known and the agency is looking for vendor input, a proposal, to craft a solution from the ground up.</w:t>
      </w:r>
      <w:r w:rsidR="00534845">
        <w:t xml:space="preserve"> </w:t>
      </w:r>
      <w:r>
        <w:t>An RFP is also used when there is a large labor hour component, to encourage vendors to give some input on how the labor might be used, and what skill sets would be required.</w:t>
      </w:r>
      <w:r w:rsidR="00534845">
        <w:t xml:space="preserve"> </w:t>
      </w:r>
      <w:r>
        <w:t>Pricing is not normally delivered in a vendor response to an RFI.</w:t>
      </w:r>
    </w:p>
    <w:p w14:paraId="62CE8A86" w14:textId="1D0198AE" w:rsidR="00742FA8" w:rsidRDefault="00BF434D" w:rsidP="00EB05DA">
      <w:r>
        <w:t>Therefore,</w:t>
      </w:r>
      <w:r w:rsidR="005A31BA">
        <w:t xml:space="preserve"> in general for cloud computing, a good combination of all of the above might be an SOO issued within an RFQ.</w:t>
      </w:r>
      <w:r w:rsidR="00534845">
        <w:t xml:space="preserve"> </w:t>
      </w:r>
      <w:r w:rsidR="005A31BA">
        <w:t xml:space="preserve">That way, the vendor </w:t>
      </w:r>
      <w:r w:rsidR="00AC087F">
        <w:t xml:space="preserve">solutions contained in </w:t>
      </w:r>
      <w:r w:rsidR="005A31BA">
        <w:t xml:space="preserve">responses </w:t>
      </w:r>
      <w:r w:rsidR="00AC087F">
        <w:t xml:space="preserve">can </w:t>
      </w:r>
      <w:r w:rsidR="005A31BA">
        <w:t xml:space="preserve">be </w:t>
      </w:r>
      <w:r w:rsidR="00AC087F">
        <w:t xml:space="preserve">innovative </w:t>
      </w:r>
      <w:r w:rsidR="005A31BA">
        <w:t>yet contain specific pricing.</w:t>
      </w:r>
      <w:r w:rsidR="00534845">
        <w:t xml:space="preserve"> </w:t>
      </w:r>
      <w:r w:rsidR="005A31BA">
        <w:t xml:space="preserve">If the agency wishes simply to establish an agency “gift card” type of drawdown account </w:t>
      </w:r>
      <w:r w:rsidR="006916D4">
        <w:t xml:space="preserve">with </w:t>
      </w:r>
      <w:r w:rsidR="005A31BA">
        <w:t xml:space="preserve">funding attached to a </w:t>
      </w:r>
      <w:r w:rsidR="006916D4">
        <w:t>CSP</w:t>
      </w:r>
      <w:r w:rsidR="005A31BA">
        <w:t xml:space="preserve"> then this may be an optimum solution.</w:t>
      </w:r>
      <w:r w:rsidR="00534845">
        <w:t xml:space="preserve"> </w:t>
      </w:r>
      <w:r w:rsidR="005A31BA">
        <w:t xml:space="preserve">CSPs may respond with their full price list of available services, which the agency can pick and choose </w:t>
      </w:r>
      <w:r w:rsidR="0003616D">
        <w:t>from at the t</w:t>
      </w:r>
      <w:r w:rsidR="005A31BA">
        <w:t xml:space="preserve">ask </w:t>
      </w:r>
      <w:r w:rsidR="0003616D">
        <w:t>o</w:t>
      </w:r>
      <w:r w:rsidR="005A31BA">
        <w:t>rder level.</w:t>
      </w:r>
    </w:p>
    <w:p w14:paraId="28A525CD" w14:textId="34A27B7B" w:rsidR="00742FA8" w:rsidRDefault="005A31BA" w:rsidP="00EB05DA">
      <w:r>
        <w:t>The final selection of the SOO</w:t>
      </w:r>
      <w:r w:rsidR="00EF2E00">
        <w:t xml:space="preserve">, </w:t>
      </w:r>
      <w:r>
        <w:t>SOW</w:t>
      </w:r>
      <w:r w:rsidR="00EF2E00">
        <w:t xml:space="preserve">, or </w:t>
      </w:r>
      <w:r>
        <w:t>PWS and RFQ</w:t>
      </w:r>
      <w:r w:rsidR="00EF2E00">
        <w:t xml:space="preserve"> or </w:t>
      </w:r>
      <w:r>
        <w:t xml:space="preserve">RFP is authorized by the ordering </w:t>
      </w:r>
      <w:r w:rsidR="00B0443B">
        <w:t>CO</w:t>
      </w:r>
      <w:r w:rsidR="002954A0">
        <w:t xml:space="preserve"> based on the characteristics of the acquisition</w:t>
      </w:r>
      <w:r>
        <w:t>.</w:t>
      </w:r>
      <w:r w:rsidR="00534845">
        <w:t xml:space="preserve"> </w:t>
      </w:r>
      <w:r>
        <w:t xml:space="preserve">It is important for the IT shop or program office to engage with their </w:t>
      </w:r>
      <w:r w:rsidR="00B0443B">
        <w:t>CO</w:t>
      </w:r>
      <w:r>
        <w:t xml:space="preserve"> early in the process because decisions like these need to be made all along </w:t>
      </w:r>
      <w:r w:rsidR="00EF2E00">
        <w:t xml:space="preserve">the </w:t>
      </w:r>
      <w:r>
        <w:t>way in this process.</w:t>
      </w:r>
    </w:p>
    <w:p w14:paraId="62A7EB42" w14:textId="77777777" w:rsidR="00742FA8" w:rsidRDefault="005A31BA" w:rsidP="00E122BF">
      <w:pPr>
        <w:pStyle w:val="Heading2"/>
      </w:pPr>
      <w:bookmarkStart w:id="24" w:name="_Toc487802622"/>
      <w:r>
        <w:t>Cloud Service Models and Contract Types</w:t>
      </w:r>
      <w:bookmarkEnd w:id="24"/>
    </w:p>
    <w:p w14:paraId="5EF92F3F" w14:textId="1B60B5C5" w:rsidR="00742FA8" w:rsidRDefault="005A31BA" w:rsidP="00EB05DA">
      <w:r>
        <w:t xml:space="preserve">There are three service models </w:t>
      </w:r>
      <w:r w:rsidR="00864BEA">
        <w:t>as defined by NIST:</w:t>
      </w:r>
      <w:r w:rsidR="0032135B">
        <w:t xml:space="preserve"> </w:t>
      </w:r>
      <w:r w:rsidR="0056668E">
        <w:t>Infrastructure as a Service (</w:t>
      </w:r>
      <w:r>
        <w:t>IaaS</w:t>
      </w:r>
      <w:r w:rsidR="0056668E">
        <w:t>)</w:t>
      </w:r>
      <w:r>
        <w:t>,</w:t>
      </w:r>
      <w:r w:rsidR="0056668E">
        <w:t xml:space="preserve"> Platform as a Service</w:t>
      </w:r>
      <w:r>
        <w:t xml:space="preserve"> </w:t>
      </w:r>
      <w:r w:rsidR="0056668E">
        <w:t>(</w:t>
      </w:r>
      <w:r>
        <w:t>PaaS</w:t>
      </w:r>
      <w:r w:rsidR="0056668E">
        <w:t>)</w:t>
      </w:r>
      <w:r w:rsidR="003C22ED">
        <w:t>,</w:t>
      </w:r>
      <w:r>
        <w:t xml:space="preserve"> and </w:t>
      </w:r>
      <w:r w:rsidR="0056668E">
        <w:t>Software as a Service (</w:t>
      </w:r>
      <w:r>
        <w:t>SaaS</w:t>
      </w:r>
      <w:r w:rsidR="0056668E">
        <w:t>)</w:t>
      </w:r>
      <w:r>
        <w:t>. These service models are vastly different in use characteristics from the consumer standpoint</w:t>
      </w:r>
      <w:r w:rsidR="003C22ED">
        <w:t>. A</w:t>
      </w:r>
      <w:r>
        <w:t xml:space="preserve">s such, </w:t>
      </w:r>
      <w:r w:rsidR="003C22ED">
        <w:t>these models</w:t>
      </w:r>
      <w:r>
        <w:t xml:space="preserve"> may </w:t>
      </w:r>
      <w:r w:rsidR="00C10F5B">
        <w:t>require different approaches</w:t>
      </w:r>
      <w:r w:rsidR="00263C5C">
        <w:t xml:space="preserve"> to </w:t>
      </w:r>
      <w:r>
        <w:t xml:space="preserve">be better managed and paid for under different conditions or contract types. The two most common contracts types for cloud service models in the Federal Government are </w:t>
      </w:r>
      <w:r w:rsidR="00430A13">
        <w:t>T&amp;M</w:t>
      </w:r>
      <w:r>
        <w:t xml:space="preserve"> and </w:t>
      </w:r>
      <w:r w:rsidR="003C22ED">
        <w:t>FFP</w:t>
      </w:r>
      <w:r w:rsidR="00C357CE">
        <w:t>.</w:t>
      </w:r>
      <w:r w:rsidR="00534845">
        <w:t xml:space="preserve"> </w:t>
      </w:r>
    </w:p>
    <w:p w14:paraId="18966FC9" w14:textId="3D863373" w:rsidR="00742FA8" w:rsidRDefault="005A31BA" w:rsidP="00EB05DA">
      <w:r>
        <w:t>The recommended perspective to make this judgement is to consider the service models required</w:t>
      </w:r>
      <w:r w:rsidR="00C04BCA">
        <w:t xml:space="preserve">; </w:t>
      </w:r>
      <w:r>
        <w:t>and then</w:t>
      </w:r>
      <w:r w:rsidR="00EC14FD">
        <w:t xml:space="preserve"> </w:t>
      </w:r>
      <w:r w:rsidR="00C04BCA">
        <w:t>specific,</w:t>
      </w:r>
      <w:r>
        <w:t xml:space="preserve"> selected subcategories of those service models. Consider </w:t>
      </w:r>
      <w:r w:rsidR="00B544D0">
        <w:t>IaaS</w:t>
      </w:r>
      <w:r>
        <w:t xml:space="preserve"> and PaaS together, and SaaS on its own. The </w:t>
      </w:r>
      <w:r w:rsidR="002808E1">
        <w:t xml:space="preserve">two </w:t>
      </w:r>
      <w:r w:rsidR="00C04BCA">
        <w:t>sub</w:t>
      </w:r>
      <w:r w:rsidR="002808E1">
        <w:t xml:space="preserve">categories </w:t>
      </w:r>
      <w:r>
        <w:t xml:space="preserve">to consider under IaaS-PaaS are </w:t>
      </w:r>
      <w:r w:rsidR="00EC14FD">
        <w:t>whether</w:t>
      </w:r>
      <w:r w:rsidR="00C04BCA">
        <w:t xml:space="preserve"> or not </w:t>
      </w:r>
      <w:r w:rsidR="002808E1">
        <w:t>IT professional services are needed</w:t>
      </w:r>
      <w:r w:rsidR="00C04BCA">
        <w:t xml:space="preserve"> in support of the service model the PM </w:t>
      </w:r>
      <w:r w:rsidR="00EC14FD">
        <w:t>plans to leverage</w:t>
      </w:r>
      <w:r>
        <w:t>. For SaaS, consider the subcategories as seats and usage</w:t>
      </w:r>
      <w:r w:rsidR="002808E1">
        <w:t>, but IT professional services are still an important consideration depending on the service</w:t>
      </w:r>
      <w:r>
        <w:t>. This sets up a framework for an appropriate discussion of cloud service models and contract types.</w:t>
      </w:r>
      <w:r w:rsidR="00534845">
        <w:t xml:space="preserve"> </w:t>
      </w:r>
    </w:p>
    <w:p w14:paraId="5E4B3B13" w14:textId="7C6C5151" w:rsidR="00742FA8" w:rsidRDefault="005A31BA" w:rsidP="00EB05DA">
      <w:r>
        <w:t xml:space="preserve">IaaS and PaaS </w:t>
      </w:r>
      <w:r w:rsidR="00F600C5">
        <w:t xml:space="preserve">share characteristics </w:t>
      </w:r>
      <w:r w:rsidR="00C04BCA">
        <w:t xml:space="preserve">such </w:t>
      </w:r>
      <w:r w:rsidR="00F600C5">
        <w:t>as application hosting</w:t>
      </w:r>
      <w:r>
        <w:t xml:space="preserve"> replacements for traditional servers housed in an agency’s data center. In a subscription based model a fixed amount of computing services are bundled together and the agency is charged monthly. For agencies procuring IaaS and PaaS without professional services, a FFP </w:t>
      </w:r>
      <w:r w:rsidR="00C04BCA">
        <w:t xml:space="preserve">contract </w:t>
      </w:r>
      <w:r>
        <w:t>should be used</w:t>
      </w:r>
      <w:r w:rsidR="00C04BCA">
        <w:t>. C</w:t>
      </w:r>
      <w:r>
        <w:t>ontract risk should be relatively low</w:t>
      </w:r>
      <w:r w:rsidR="00C04BCA">
        <w:t xml:space="preserve"> and</w:t>
      </w:r>
      <w:r w:rsidR="00EC14FD">
        <w:t xml:space="preserve"> </w:t>
      </w:r>
      <w:r w:rsidR="00C04BCA">
        <w:t xml:space="preserve">predictable </w:t>
      </w:r>
      <w:r>
        <w:t>within acceptable limits</w:t>
      </w:r>
      <w:r w:rsidR="00C04BCA">
        <w:t>. T</w:t>
      </w:r>
      <w:r>
        <w:t xml:space="preserve">he vendors and agency </w:t>
      </w:r>
      <w:r w:rsidR="002C04CD">
        <w:t xml:space="preserve">can </w:t>
      </w:r>
      <w:r>
        <w:t xml:space="preserve">reasonably agree on price. This does not come without risk as agencies can be charged for services </w:t>
      </w:r>
      <w:r w:rsidR="002C04CD">
        <w:t>not</w:t>
      </w:r>
      <w:r>
        <w:t xml:space="preserve"> used or are charged more than expected (both scenarios do not </w:t>
      </w:r>
      <w:r w:rsidR="0026671C">
        <w:t xml:space="preserve">effectively </w:t>
      </w:r>
      <w:r>
        <w:t xml:space="preserve">take advantage of </w:t>
      </w:r>
      <w:r w:rsidR="002C04CD">
        <w:t>pay for use</w:t>
      </w:r>
      <w:r>
        <w:t xml:space="preserve"> promised by a cloud solution). In cases where agencies require support services, they should consider a </w:t>
      </w:r>
      <w:r w:rsidR="00430A13">
        <w:t>T&amp;M</w:t>
      </w:r>
      <w:r w:rsidR="00243714">
        <w:t xml:space="preserve"> CLIN</w:t>
      </w:r>
      <w:r>
        <w:t xml:space="preserve"> separate from the IaaS and PaaS FFP and identify their </w:t>
      </w:r>
      <w:r w:rsidR="00243714">
        <w:t>requirements for</w:t>
      </w:r>
      <w:r>
        <w:t xml:space="preserve"> the </w:t>
      </w:r>
      <w:r w:rsidR="00BD4ECD">
        <w:t>CLIN</w:t>
      </w:r>
      <w:r>
        <w:t>. Agencies can avoid these risks by writing in broad CLINs that provide the customer flexibility</w:t>
      </w:r>
      <w:r w:rsidR="00EF2E00">
        <w:t>,</w:t>
      </w:r>
      <w:r>
        <w:t xml:space="preserve"> broader scope</w:t>
      </w:r>
      <w:r w:rsidR="00EF2E00">
        <w:t>,</w:t>
      </w:r>
      <w:r>
        <w:t xml:space="preserve"> and alleviate</w:t>
      </w:r>
      <w:r w:rsidR="00EF2E00">
        <w:t>s</w:t>
      </w:r>
      <w:r>
        <w:t xml:space="preserve"> Government concerns around exceeding categorized line items within a contract. </w:t>
      </w:r>
    </w:p>
    <w:p w14:paraId="7C34E887" w14:textId="3DA19620" w:rsidR="00C66D35" w:rsidRDefault="005664DA" w:rsidP="00EB05DA">
      <w:r>
        <w:t>SaaS</w:t>
      </w:r>
      <w:r w:rsidR="005A31BA">
        <w:t xml:space="preserve"> offerings vary from IaaS and PaaS in that vendors </w:t>
      </w:r>
      <w:r w:rsidR="00C75329">
        <w:t xml:space="preserve">typically </w:t>
      </w:r>
      <w:r w:rsidR="005A31BA">
        <w:t xml:space="preserve">charge for active users or seat licenses that are permitted to access the service. SaaS seats may be scaled up or down each month in keeping with the metered billing model for use in a T&amp;M or FFP contract. To take advantage of the SaaS cost savings, a T&amp;M contract type should be used to pay for usage. Most SaaS offerings include monitoring capabilities built into the service. Agencies can take advantage of the automation tools to help provision, control access, and provide cloud monitoring and reporting. It may be difficult to get agency </w:t>
      </w:r>
      <w:r w:rsidR="00B0443B">
        <w:t>CO</w:t>
      </w:r>
      <w:r w:rsidR="008D14BD">
        <w:t xml:space="preserve"> buy-</w:t>
      </w:r>
      <w:r w:rsidR="005A31BA">
        <w:t xml:space="preserve">in as it is not the traditional way of procuring IT services. If an agency selects a FFP contract type for a SaaS procurement, allow for the flexibility at the CLIN or </w:t>
      </w:r>
      <w:r w:rsidR="009F2CBF">
        <w:t>TO</w:t>
      </w:r>
      <w:r w:rsidR="005A31BA">
        <w:t xml:space="preserve"> level so cost savings can be realized. </w:t>
      </w:r>
    </w:p>
    <w:p w14:paraId="0817C7B9" w14:textId="1A90FD62" w:rsidR="0003238D" w:rsidRDefault="00EF2E00" w:rsidP="00EF2E00">
      <w:pPr>
        <w:pStyle w:val="Caption"/>
      </w:pPr>
      <w:bookmarkStart w:id="25" w:name="_Toc487802636"/>
      <w:r>
        <w:t xml:space="preserve">Exhibit </w:t>
      </w:r>
      <w:fldSimple w:instr=" SEQ Exhibit \* ARABIC ">
        <w:r w:rsidR="00E122BF">
          <w:rPr>
            <w:noProof/>
          </w:rPr>
          <w:t>6</w:t>
        </w:r>
      </w:fldSimple>
      <w:r w:rsidR="0003238D">
        <w:t xml:space="preserve"> - Service Model Contract Type Considerations</w:t>
      </w:r>
      <w:bookmarkEnd w:id="25"/>
    </w:p>
    <w:p w14:paraId="5B14FF95" w14:textId="5484C0BD" w:rsidR="006B06BB" w:rsidRPr="00EF2E00" w:rsidRDefault="00C66D35" w:rsidP="00EF2E00">
      <w:pPr>
        <w:pStyle w:val="Graphic"/>
        <w:rPr>
          <w:color w:val="1F497D" w:themeColor="text2"/>
        </w:rPr>
      </w:pPr>
      <w:r w:rsidRPr="00C66D35">
        <w:drawing>
          <wp:inline distT="0" distB="0" distL="0" distR="0" wp14:anchorId="515EEF53" wp14:editId="113A6F5E">
            <wp:extent cx="5940930" cy="2779935"/>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5726" t="20036" r="7483" b="25815"/>
                    <a:stretch/>
                  </pic:blipFill>
                  <pic:spPr bwMode="auto">
                    <a:xfrm>
                      <a:off x="0" y="0"/>
                      <a:ext cx="5982835" cy="2799544"/>
                    </a:xfrm>
                    <a:prstGeom prst="rect">
                      <a:avLst/>
                    </a:prstGeom>
                    <a:ln>
                      <a:noFill/>
                    </a:ln>
                    <a:extLst>
                      <a:ext uri="{53640926-AAD7-44D8-BBD7-CCE9431645EC}">
                        <a14:shadowObscured xmlns:a14="http://schemas.microsoft.com/office/drawing/2010/main"/>
                      </a:ext>
                    </a:extLst>
                  </pic:spPr>
                </pic:pic>
              </a:graphicData>
            </a:graphic>
          </wp:inline>
        </w:drawing>
      </w:r>
    </w:p>
    <w:p w14:paraId="5D7BE119" w14:textId="4B97C9DD" w:rsidR="00742FA8" w:rsidRDefault="005A31BA" w:rsidP="00EB05DA">
      <w:r>
        <w:t>In summary, T&amp;M is the appropriate contract type for IaaS-PaaS if labor is required; otherwise, FFP is more advantageous. For SaaS, T&amp;M is useful in all cases including seats and usage, but FFP should be limited to seat oriented contracts</w:t>
      </w:r>
      <w:r w:rsidR="008D14BD">
        <w:t xml:space="preserve"> and include options based on tiers of usage</w:t>
      </w:r>
      <w:r>
        <w:t>.</w:t>
      </w:r>
    </w:p>
    <w:p w14:paraId="1776A580" w14:textId="28773FD8" w:rsidR="0036799B" w:rsidRDefault="001226F2" w:rsidP="00E122BF">
      <w:pPr>
        <w:pStyle w:val="Heading2"/>
      </w:pPr>
      <w:bookmarkStart w:id="26" w:name="_Toc487802623"/>
      <w:r>
        <w:t>Risks of Not Buckling Your Seatbelt</w:t>
      </w:r>
      <w:bookmarkEnd w:id="26"/>
    </w:p>
    <w:p w14:paraId="3A1C9D85" w14:textId="2F8CE02A" w:rsidR="0036799B" w:rsidRDefault="0036799B" w:rsidP="0036799B">
      <w:r>
        <w:t>This document details many of the capabilities and benefits such as the rapid elasticity and scalability of cloud computing. There is little “friction” to add</w:t>
      </w:r>
      <w:r w:rsidR="00A85EA4">
        <w:t>ing</w:t>
      </w:r>
      <w:r>
        <w:t xml:space="preserve"> more resources near-instantaneously when they are needed. There is often an API for automated approval, taking the human aspect out of the equation and expediting the approval for scaling. The speed of the scalability can be a massive benefit to the consuming agency. </w:t>
      </w:r>
    </w:p>
    <w:p w14:paraId="365C6518" w14:textId="21B568B5" w:rsidR="0036799B" w:rsidRDefault="0036799B" w:rsidP="0036799B">
      <w:r>
        <w:t xml:space="preserve">While this scalability is most often a benefit, there are also potential pitfalls. Cloud often relies on decentralized responsibilities meaning that the ordering </w:t>
      </w:r>
      <w:r w:rsidR="00684EE0">
        <w:t xml:space="preserve">capability (deployment of each cloud resource) </w:t>
      </w:r>
      <w:r>
        <w:t xml:space="preserve">is </w:t>
      </w:r>
      <w:r w:rsidR="00684EE0">
        <w:t xml:space="preserve">broadly </w:t>
      </w:r>
      <w:r>
        <w:t>distributed</w:t>
      </w:r>
      <w:r w:rsidR="00684EE0">
        <w:t xml:space="preserve"> and potentially automated</w:t>
      </w:r>
      <w:r>
        <w:t>. The agency must consider how to potentially manage many cloud resources individually and consider demand at the aggregate agency level. Each cloud resource that is ordered is committing the government to paying for that resource</w:t>
      </w:r>
      <w:r w:rsidR="00233FEB">
        <w:t xml:space="preserve"> with costs accruing</w:t>
      </w:r>
      <w:r>
        <w:t xml:space="preserve"> as soon as that resource is </w:t>
      </w:r>
      <w:r w:rsidR="00233FEB">
        <w:t>requested and deployed</w:t>
      </w:r>
      <w:r>
        <w:t xml:space="preserve">. There is no way to stop the resources from being ordered when rapid scaling takes place. In extreme cases, this could put the agency at risk of violating the Antideficiency Act by incurring obligations or making expenditures that exceed the amounts available in appropriations or obligations. </w:t>
      </w:r>
    </w:p>
    <w:p w14:paraId="1E8354E3" w14:textId="56413761" w:rsidR="0036799B" w:rsidRDefault="0036799B" w:rsidP="0036799B">
      <w:r>
        <w:t xml:space="preserve">Additionally, these resources that </w:t>
      </w:r>
      <w:r w:rsidR="00233FEB">
        <w:t xml:space="preserve">may be </w:t>
      </w:r>
      <w:r>
        <w:t xml:space="preserve">quickly spun up are sometimes not spun back down, leading to wasted resources and unnecessary expense. Easy scalability without proper governance can lead to the government being committed to a large sum of money. There can be some instances where scaling up for resources </w:t>
      </w:r>
      <w:r w:rsidR="00EF2E00">
        <w:t>may occur</w:t>
      </w:r>
      <w:r>
        <w:t xml:space="preserve"> outside the IT security boundaries - an agency’s authority to operate (ATO). In these cases, the speed that is usually considered a benefit is now a detriment. </w:t>
      </w:r>
    </w:p>
    <w:p w14:paraId="2F5C40BD" w14:textId="01D90C07" w:rsidR="0036799B" w:rsidRDefault="0036799B" w:rsidP="0036799B">
      <w:r>
        <w:t>These risks can all be mitigated by having the proper governance structure that has the responsibility to enable IT cloud solutions within the acquisition and contracting policies and for cloud related programs. Proper governance is required to mitigate the risk of violating the Antideficiency Act by mitigating the risk so an agency doesn’t run up charges that are in excess of what has been obligated. A strong governance structure can establish consistent interpretation of policy and monitor cloud performance while addressing potential consumption issues. In addition, this can reduce or even eliminate investments that are underutilized (e.g.</w:t>
      </w:r>
      <w:r w:rsidR="005664DA">
        <w:t>,</w:t>
      </w:r>
      <w:r>
        <w:t xml:space="preserve"> pilot programs that are no longer used). One example could be for the governance model to outline how the CSP can provide alerts at a predetermined level of consumption to avoid invoices within their budgeted amount. </w:t>
      </w:r>
    </w:p>
    <w:p w14:paraId="6CF24964" w14:textId="77777777" w:rsidR="0077565A" w:rsidRPr="00B44CAF" w:rsidRDefault="0077565A" w:rsidP="00E122BF">
      <w:pPr>
        <w:pStyle w:val="Heading2"/>
      </w:pPr>
      <w:bookmarkStart w:id="27" w:name="_Toc487802624"/>
      <w:r w:rsidRPr="00B44CAF">
        <w:t>Cloud Responsibilities</w:t>
      </w:r>
      <w:bookmarkEnd w:id="27"/>
    </w:p>
    <w:p w14:paraId="25F66788" w14:textId="5ED103A3" w:rsidR="0077565A" w:rsidRPr="00F463C9" w:rsidRDefault="0077565A" w:rsidP="0077565A">
      <w:pPr>
        <w:rPr>
          <w:spacing w:val="-1"/>
        </w:rPr>
      </w:pPr>
      <w:r w:rsidRPr="00F463C9">
        <w:rPr>
          <w:spacing w:val="-1"/>
        </w:rPr>
        <w:t xml:space="preserve">Clarity in roles and responsibilities is a basic and very important factor for any </w:t>
      </w:r>
      <w:r w:rsidR="00A76CF5" w:rsidRPr="00F463C9">
        <w:rPr>
          <w:spacing w:val="-1"/>
        </w:rPr>
        <w:t>well-run</w:t>
      </w:r>
      <w:r w:rsidRPr="00F463C9">
        <w:rPr>
          <w:spacing w:val="-1"/>
        </w:rPr>
        <w:t xml:space="preserve"> service and organization. The cloud environment has the same demand, but it may be more important in this environment than in many legacy computing environments. The reasons include the fact that cloud is relatively new</w:t>
      </w:r>
      <w:r w:rsidR="00A96B9A">
        <w:rPr>
          <w:spacing w:val="-1"/>
        </w:rPr>
        <w:t>, and responsibilities in a new paradigm need to be established</w:t>
      </w:r>
      <w:r w:rsidR="00D85030">
        <w:rPr>
          <w:spacing w:val="-1"/>
        </w:rPr>
        <w:t xml:space="preserve">. </w:t>
      </w:r>
      <w:r w:rsidRPr="00F463C9">
        <w:rPr>
          <w:spacing w:val="-1"/>
        </w:rPr>
        <w:t xml:space="preserve">A second reason is </w:t>
      </w:r>
      <w:r w:rsidR="00A96B9A">
        <w:rPr>
          <w:spacing w:val="-1"/>
        </w:rPr>
        <w:t xml:space="preserve">to lower risk exposures inherent in the low friction scalability environment that is cloud. Finally, </w:t>
      </w:r>
      <w:r w:rsidRPr="00F463C9">
        <w:rPr>
          <w:spacing w:val="-1"/>
        </w:rPr>
        <w:t xml:space="preserve">new roles are needed that emphasize and bring new skillsets to the forefront. Agencies should consider the following roles and responsibilities as fundamental to a well operated and well governed cloud environment. </w:t>
      </w:r>
    </w:p>
    <w:p w14:paraId="3C43B69E" w14:textId="09058713" w:rsidR="0003238D" w:rsidRDefault="00320DE1" w:rsidP="00320DE1">
      <w:pPr>
        <w:pStyle w:val="Caption"/>
      </w:pPr>
      <w:bookmarkStart w:id="28" w:name="_Toc487802637"/>
      <w:r>
        <w:t xml:space="preserve">Exhibit </w:t>
      </w:r>
      <w:fldSimple w:instr=" SEQ Exhibit \* ARABIC ">
        <w:r w:rsidR="00E122BF">
          <w:rPr>
            <w:noProof/>
          </w:rPr>
          <w:t>7</w:t>
        </w:r>
      </w:fldSimple>
      <w:r w:rsidR="0003238D">
        <w:t xml:space="preserve"> - NIST Cloud Reference Architecture</w:t>
      </w:r>
      <w:bookmarkEnd w:id="28"/>
    </w:p>
    <w:p w14:paraId="78EE9CF3" w14:textId="77777777" w:rsidR="0077565A" w:rsidRPr="0073710D" w:rsidRDefault="0077565A" w:rsidP="0077565A">
      <w:pPr>
        <w:rPr>
          <w:b/>
          <w:spacing w:val="-1"/>
        </w:rPr>
      </w:pPr>
      <w:r w:rsidRPr="00B4576D">
        <w:rPr>
          <w:noProof/>
          <w:sz w:val="20"/>
          <w:szCs w:val="20"/>
        </w:rPr>
        <w:drawing>
          <wp:inline distT="0" distB="0" distL="0" distR="0" wp14:anchorId="5C7BB2DD" wp14:editId="7FC0093C">
            <wp:extent cx="5943600" cy="343643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3436439"/>
                    </a:xfrm>
                    <a:prstGeom prst="rect">
                      <a:avLst/>
                    </a:prstGeom>
                  </pic:spPr>
                </pic:pic>
              </a:graphicData>
            </a:graphic>
          </wp:inline>
        </w:drawing>
      </w:r>
    </w:p>
    <w:p w14:paraId="75082098" w14:textId="342910BD" w:rsidR="0077565A" w:rsidRPr="00E122BF" w:rsidRDefault="002E7682" w:rsidP="00A76CF5">
      <w:pPr>
        <w:pStyle w:val="Heading3"/>
        <w:rPr>
          <w:spacing w:val="39"/>
          <w:w w:val="99"/>
        </w:rPr>
      </w:pPr>
      <w:hyperlink w:anchor="_bookmark20" w:history="1">
        <w:r w:rsidR="0077565A" w:rsidRPr="00E122BF">
          <w:rPr>
            <w:spacing w:val="-2"/>
          </w:rPr>
          <w:t xml:space="preserve">Cloud </w:t>
        </w:r>
        <w:r w:rsidR="0077565A" w:rsidRPr="00E122BF">
          <w:rPr>
            <w:spacing w:val="-1"/>
          </w:rPr>
          <w:t>Broker</w:t>
        </w:r>
      </w:hyperlink>
      <w:r w:rsidR="0077565A" w:rsidRPr="00E122BF">
        <w:rPr>
          <w:spacing w:val="39"/>
          <w:w w:val="99"/>
        </w:rPr>
        <w:t xml:space="preserve"> </w:t>
      </w:r>
    </w:p>
    <w:p w14:paraId="53D74D0C" w14:textId="73F51631" w:rsidR="0077565A" w:rsidRPr="00320DE1" w:rsidRDefault="0077565A" w:rsidP="00320DE1">
      <w:pPr>
        <w:rPr>
          <w:i/>
          <w:spacing w:val="39"/>
          <w:w w:val="99"/>
        </w:rPr>
      </w:pPr>
      <w:r w:rsidRPr="001D6958">
        <w:t xml:space="preserve">By definition, a Cloud Broker is an individual or organization that consults, mediates, and facilitates the selection of cloud computing solutions on behalf of an organization (in this </w:t>
      </w:r>
      <w:r w:rsidR="00CB7D9F">
        <w:t xml:space="preserve">federal example </w:t>
      </w:r>
      <w:r w:rsidRPr="001D6958">
        <w:t xml:space="preserve">case, </w:t>
      </w:r>
      <w:r w:rsidR="00CB7D9F">
        <w:t>an agency e.g.</w:t>
      </w:r>
      <w:r w:rsidR="00320DE1">
        <w:t>,</w:t>
      </w:r>
      <w:r w:rsidRPr="001D6958">
        <w:t xml:space="preserve"> USDA)</w:t>
      </w:r>
      <w:r w:rsidR="00D85030">
        <w:t xml:space="preserve">. </w:t>
      </w:r>
      <w:r w:rsidRPr="00C157A1">
        <w:rPr>
          <w:rFonts w:cs="Times New Roman"/>
          <w:szCs w:val="24"/>
        </w:rPr>
        <w:t>A cloud broker is an entity that manages the</w:t>
      </w:r>
      <w:r>
        <w:rPr>
          <w:rFonts w:cs="Times New Roman"/>
          <w:szCs w:val="24"/>
        </w:rPr>
        <w:t xml:space="preserve"> </w:t>
      </w:r>
      <w:r w:rsidRPr="00C157A1">
        <w:rPr>
          <w:rFonts w:cs="Times New Roman"/>
          <w:szCs w:val="24"/>
        </w:rPr>
        <w:t>use, performance, and delivery of cloud services and negotiates relationships between cloud</w:t>
      </w:r>
      <w:r>
        <w:rPr>
          <w:rFonts w:cs="Times New Roman"/>
          <w:szCs w:val="24"/>
        </w:rPr>
        <w:t xml:space="preserve"> </w:t>
      </w:r>
      <w:r w:rsidRPr="00C157A1">
        <w:rPr>
          <w:rFonts w:cs="Times New Roman"/>
          <w:szCs w:val="24"/>
        </w:rPr>
        <w:t>providers and cloud consumers</w:t>
      </w:r>
      <w:r>
        <w:rPr>
          <w:rFonts w:cs="Times New Roman"/>
          <w:szCs w:val="24"/>
        </w:rPr>
        <w:t>.</w:t>
      </w:r>
    </w:p>
    <w:p w14:paraId="05B39982" w14:textId="77777777" w:rsidR="0077565A" w:rsidRPr="00E122BF" w:rsidRDefault="0077565A" w:rsidP="00A76CF5">
      <w:pPr>
        <w:pStyle w:val="Heading3"/>
      </w:pPr>
      <w:r w:rsidRPr="00E122BF">
        <w:rPr>
          <w:spacing w:val="-2"/>
        </w:rPr>
        <w:t xml:space="preserve">Cloud </w:t>
      </w:r>
      <w:r w:rsidRPr="00E122BF">
        <w:t>Carrier</w:t>
      </w:r>
    </w:p>
    <w:p w14:paraId="5614C307" w14:textId="77777777" w:rsidR="0077565A" w:rsidRPr="00320DE1" w:rsidRDefault="0077565A" w:rsidP="0077565A">
      <w:pPr>
        <w:rPr>
          <w:i/>
          <w:spacing w:val="-1"/>
        </w:rPr>
      </w:pPr>
      <w:r w:rsidRPr="001D6958">
        <w:rPr>
          <w:szCs w:val="20"/>
        </w:rPr>
        <w:t>By definition, the Cloud Carrier is the intermediary that provides connectivity and transport of cloud services between Cloud Service Provider(s) and Cloud Consumers.</w:t>
      </w:r>
    </w:p>
    <w:p w14:paraId="758AC339" w14:textId="26740112" w:rsidR="0077565A" w:rsidRPr="00E122BF" w:rsidRDefault="002E7682" w:rsidP="00A76CF5">
      <w:pPr>
        <w:pStyle w:val="Heading3"/>
        <w:rPr>
          <w:spacing w:val="-1"/>
        </w:rPr>
      </w:pPr>
      <w:hyperlink w:anchor="_bookmark21" w:history="1">
        <w:r w:rsidR="0077565A" w:rsidRPr="00E122BF">
          <w:rPr>
            <w:spacing w:val="-2"/>
          </w:rPr>
          <w:t>Cloud</w:t>
        </w:r>
        <w:r w:rsidR="0077565A" w:rsidRPr="00E122BF">
          <w:rPr>
            <w:spacing w:val="-1"/>
          </w:rPr>
          <w:t xml:space="preserve"> Auditor</w:t>
        </w:r>
      </w:hyperlink>
    </w:p>
    <w:p w14:paraId="6770602F" w14:textId="5C29EA59" w:rsidR="0077565A" w:rsidRPr="00B544D0" w:rsidRDefault="0077565A" w:rsidP="0077565A">
      <w:pPr>
        <w:rPr>
          <w:b/>
          <w:spacing w:val="-1"/>
        </w:rPr>
      </w:pPr>
      <w:r w:rsidRPr="001D6958">
        <w:rPr>
          <w:szCs w:val="20"/>
        </w:rPr>
        <w:t>By definition, the Cloud Auditor is the organization that can perform an independent examination of cloud service controls with the intent to express an opinion thereon</w:t>
      </w:r>
      <w:r w:rsidR="00D85030">
        <w:rPr>
          <w:szCs w:val="20"/>
        </w:rPr>
        <w:t xml:space="preserve">. </w:t>
      </w:r>
      <w:r w:rsidRPr="001D6958">
        <w:rPr>
          <w:szCs w:val="20"/>
        </w:rPr>
        <w:t>Audits are performed to verify conformance to standards through a review of objective evidence. A cloud auditor can evaluate the services provided by a cloud provider such as security controls, privacy impact, and performance.</w:t>
      </w:r>
    </w:p>
    <w:p w14:paraId="5D26DC4A" w14:textId="4B59E448" w:rsidR="0077565A" w:rsidRPr="00E122BF" w:rsidRDefault="002E7682" w:rsidP="00A76CF5">
      <w:pPr>
        <w:pStyle w:val="Heading3"/>
        <w:rPr>
          <w:spacing w:val="-1"/>
        </w:rPr>
      </w:pPr>
      <w:hyperlink w:anchor="_bookmark24" w:history="1">
        <w:r w:rsidR="0077565A" w:rsidRPr="00E122BF">
          <w:rPr>
            <w:spacing w:val="-1"/>
          </w:rPr>
          <w:t>Cloud</w:t>
        </w:r>
        <w:r w:rsidR="0077565A" w:rsidRPr="00E122BF">
          <w:rPr>
            <w:spacing w:val="-4"/>
          </w:rPr>
          <w:t xml:space="preserve"> </w:t>
        </w:r>
        <w:r w:rsidR="0077565A" w:rsidRPr="00E122BF">
          <w:rPr>
            <w:spacing w:val="-1"/>
          </w:rPr>
          <w:t>Service</w:t>
        </w:r>
        <w:r w:rsidR="0077565A" w:rsidRPr="00E122BF">
          <w:rPr>
            <w:spacing w:val="-3"/>
          </w:rPr>
          <w:t xml:space="preserve"> </w:t>
        </w:r>
        <w:r w:rsidR="0077565A" w:rsidRPr="00E122BF">
          <w:rPr>
            <w:spacing w:val="-1"/>
          </w:rPr>
          <w:t>Provider</w:t>
        </w:r>
        <w:r w:rsidR="0077565A" w:rsidRPr="00E122BF">
          <w:rPr>
            <w:spacing w:val="-3"/>
          </w:rPr>
          <w:t xml:space="preserve"> </w:t>
        </w:r>
        <w:r w:rsidR="0077565A" w:rsidRPr="00E122BF">
          <w:rPr>
            <w:spacing w:val="-1"/>
          </w:rPr>
          <w:t>(CSP</w:t>
        </w:r>
      </w:hyperlink>
      <w:r w:rsidR="0077565A" w:rsidRPr="00E122BF">
        <w:rPr>
          <w:spacing w:val="-1"/>
        </w:rPr>
        <w:t>)</w:t>
      </w:r>
    </w:p>
    <w:p w14:paraId="36DDEE55" w14:textId="3EB1B6A1" w:rsidR="0077565A" w:rsidRDefault="0077565A" w:rsidP="0077565A">
      <w:pPr>
        <w:rPr>
          <w:spacing w:val="-1"/>
        </w:rPr>
      </w:pPr>
      <w:r w:rsidRPr="003005C2">
        <w:rPr>
          <w:szCs w:val="20"/>
        </w:rPr>
        <w:t xml:space="preserve">By definition, </w:t>
      </w:r>
      <w:r>
        <w:rPr>
          <w:szCs w:val="20"/>
        </w:rPr>
        <w:t>the Cloud Service Provider can be a person, an organization, or an entity responsible for making a service available to cloud consumers. Their services are categorized as</w:t>
      </w:r>
      <w:r w:rsidRPr="003005C2">
        <w:rPr>
          <w:szCs w:val="20"/>
        </w:rPr>
        <w:t xml:space="preserve"> </w:t>
      </w:r>
      <w:r w:rsidRPr="00A04184">
        <w:rPr>
          <w:szCs w:val="20"/>
        </w:rPr>
        <w:t>Infrastructure as a Service (IaaS)</w:t>
      </w:r>
      <w:r w:rsidRPr="003005C2">
        <w:rPr>
          <w:szCs w:val="20"/>
        </w:rPr>
        <w:t xml:space="preserve">, </w:t>
      </w:r>
      <w:r w:rsidRPr="00A04184">
        <w:rPr>
          <w:szCs w:val="20"/>
        </w:rPr>
        <w:t>Platform as a Service (</w:t>
      </w:r>
      <w:r w:rsidRPr="00B4576D">
        <w:t>PaaS), or Software</w:t>
      </w:r>
      <w:r w:rsidRPr="00A04184">
        <w:rPr>
          <w:szCs w:val="20"/>
        </w:rPr>
        <w:t xml:space="preserve"> as a Service (SaaS)</w:t>
      </w:r>
      <w:r w:rsidRPr="003005C2">
        <w:rPr>
          <w:szCs w:val="20"/>
        </w:rPr>
        <w:t xml:space="preserve"> </w:t>
      </w:r>
      <w:r>
        <w:rPr>
          <w:szCs w:val="20"/>
        </w:rPr>
        <w:t xml:space="preserve">and are provided </w:t>
      </w:r>
      <w:r w:rsidRPr="003005C2">
        <w:rPr>
          <w:szCs w:val="20"/>
        </w:rPr>
        <w:t>to other businesses or individuals</w:t>
      </w:r>
      <w:r w:rsidR="00D85030">
        <w:rPr>
          <w:szCs w:val="20"/>
        </w:rPr>
        <w:t xml:space="preserve">. </w:t>
      </w:r>
    </w:p>
    <w:p w14:paraId="7B0CF87C" w14:textId="77777777" w:rsidR="0077565A" w:rsidRPr="00E122BF" w:rsidRDefault="0077565A" w:rsidP="00A76CF5">
      <w:pPr>
        <w:pStyle w:val="Heading3"/>
      </w:pPr>
      <w:r w:rsidRPr="00E122BF">
        <w:t xml:space="preserve">Cloud Consumer </w:t>
      </w:r>
    </w:p>
    <w:p w14:paraId="7C295071" w14:textId="13F044B6" w:rsidR="0077565A" w:rsidRPr="006B06BB" w:rsidRDefault="0077565A" w:rsidP="0036799B">
      <w:pPr>
        <w:rPr>
          <w:rFonts w:eastAsia="Calibri" w:hAnsi="Calibri" w:cs="Calibri"/>
          <w:szCs w:val="24"/>
        </w:rPr>
      </w:pPr>
      <w:r w:rsidRPr="003005C2">
        <w:rPr>
          <w:szCs w:val="20"/>
        </w:rPr>
        <w:t>By definition, the Cloud S</w:t>
      </w:r>
      <w:r>
        <w:rPr>
          <w:szCs w:val="20"/>
        </w:rPr>
        <w:t>ervice Consumer is the ultimate</w:t>
      </w:r>
      <w:r w:rsidRPr="003005C2">
        <w:rPr>
          <w:szCs w:val="20"/>
        </w:rPr>
        <w:t xml:space="preserve"> </w:t>
      </w:r>
      <w:hyperlink r:id="rId39" w:tooltip="Stakeholder" w:history="1">
        <w:r w:rsidRPr="003005C2">
          <w:rPr>
            <w:szCs w:val="20"/>
          </w:rPr>
          <w:t>stakeholder</w:t>
        </w:r>
      </w:hyperlink>
      <w:r w:rsidRPr="003005C2">
        <w:rPr>
          <w:szCs w:val="20"/>
        </w:rPr>
        <w:t xml:space="preserve"> that the </w:t>
      </w:r>
      <w:hyperlink r:id="rId40" w:tooltip="Cloud computing service" w:history="1">
        <w:r w:rsidRPr="003005C2">
          <w:rPr>
            <w:szCs w:val="20"/>
          </w:rPr>
          <w:t>cloud computing service</w:t>
        </w:r>
      </w:hyperlink>
      <w:r>
        <w:rPr>
          <w:szCs w:val="20"/>
        </w:rPr>
        <w:t xml:space="preserve"> is created to support</w:t>
      </w:r>
      <w:r w:rsidR="00D85030">
        <w:rPr>
          <w:szCs w:val="20"/>
        </w:rPr>
        <w:t xml:space="preserve">. </w:t>
      </w:r>
      <w:r w:rsidRPr="003005C2">
        <w:rPr>
          <w:szCs w:val="20"/>
        </w:rPr>
        <w:t xml:space="preserve">A cloud consumer represents a person or an organization that maintains a business relationship with and uses the service from a </w:t>
      </w:r>
      <w:hyperlink r:id="rId41" w:tooltip="Cloud provider" w:history="1">
        <w:r w:rsidRPr="003005C2">
          <w:rPr>
            <w:szCs w:val="20"/>
          </w:rPr>
          <w:t>cloud provider</w:t>
        </w:r>
      </w:hyperlink>
      <w:r w:rsidRPr="003005C2">
        <w:rPr>
          <w:szCs w:val="20"/>
        </w:rPr>
        <w:t>.</w:t>
      </w:r>
    </w:p>
    <w:p w14:paraId="74776979" w14:textId="77777777" w:rsidR="00742FA8" w:rsidRDefault="005A31BA" w:rsidP="00A76CF5">
      <w:pPr>
        <w:pStyle w:val="Heading1"/>
      </w:pPr>
      <w:bookmarkStart w:id="29" w:name="_Toc487802625"/>
      <w:r>
        <w:t>Advanced Cloud</w:t>
      </w:r>
      <w:r w:rsidR="005C5F16">
        <w:t xml:space="preserve"> Topics</w:t>
      </w:r>
      <w:bookmarkEnd w:id="29"/>
    </w:p>
    <w:p w14:paraId="24164EA7" w14:textId="77777777" w:rsidR="00742FA8" w:rsidRDefault="005A31BA" w:rsidP="00E122BF">
      <w:pPr>
        <w:pStyle w:val="Heading2"/>
        <w:numPr>
          <w:ilvl w:val="1"/>
          <w:numId w:val="30"/>
        </w:numPr>
      </w:pPr>
      <w:bookmarkStart w:id="30" w:name="_Toc487802626"/>
      <w:r>
        <w:t>Strategic Contracting Considerations</w:t>
      </w:r>
      <w:bookmarkEnd w:id="30"/>
    </w:p>
    <w:p w14:paraId="750D4443" w14:textId="69F25A8B" w:rsidR="006B06BB" w:rsidRDefault="005A31BA" w:rsidP="00EB05DA">
      <w:pPr>
        <w:rPr>
          <w:highlight w:val="white"/>
        </w:rPr>
      </w:pPr>
      <w:r>
        <w:t xml:space="preserve">While </w:t>
      </w:r>
      <w:r w:rsidR="00DD72D2">
        <w:t xml:space="preserve">the </w:t>
      </w:r>
      <w:r w:rsidR="00320DE1">
        <w:t>scenarios</w:t>
      </w:r>
      <w:r w:rsidR="00DD72D2">
        <w:t xml:space="preserve"> in this </w:t>
      </w:r>
      <w:r w:rsidR="00320DE1">
        <w:t>Guide</w:t>
      </w:r>
      <w:r w:rsidR="00DD72D2">
        <w:t xml:space="preserve"> used an assumption of a single contract to procure and execute the entire scenario</w:t>
      </w:r>
      <w:r>
        <w:t xml:space="preserve">, there are many other </w:t>
      </w:r>
      <w:r w:rsidR="00DD72D2">
        <w:t xml:space="preserve">contracting </w:t>
      </w:r>
      <w:r>
        <w:t xml:space="preserve">permutations that agencies </w:t>
      </w:r>
      <w:r w:rsidR="00DD72D2">
        <w:t xml:space="preserve">might leverage in their </w:t>
      </w:r>
      <w:r>
        <w:t xml:space="preserve">cloud environment. Because cloud continues to evolve and new ideas are constantly entering the market, </w:t>
      </w:r>
      <w:r>
        <w:rPr>
          <w:highlight w:val="white"/>
        </w:rPr>
        <w:t>cloud becomes a necessary option for many agencies. The types of services that providers can offer to organizations will continue to grow</w:t>
      </w:r>
      <w:r w:rsidR="00D85030">
        <w:rPr>
          <w:highlight w:val="white"/>
        </w:rPr>
        <w:t xml:space="preserve">. </w:t>
      </w:r>
      <w:r w:rsidR="006477DF" w:rsidRPr="006477DF">
        <w:rPr>
          <w:shd w:val="clear" w:color="auto" w:fill="FFFFFF"/>
        </w:rPr>
        <w:t xml:space="preserve">The </w:t>
      </w:r>
      <w:r w:rsidR="00320DE1">
        <w:rPr>
          <w:shd w:val="clear" w:color="auto" w:fill="FFFFFF"/>
        </w:rPr>
        <w:t>Guide</w:t>
      </w:r>
      <w:r w:rsidR="006477DF" w:rsidRPr="006477DF">
        <w:rPr>
          <w:shd w:val="clear" w:color="auto" w:fill="FFFFFF"/>
        </w:rPr>
        <w:t xml:space="preserve"> recommends </w:t>
      </w:r>
      <w:r w:rsidR="0073275E">
        <w:rPr>
          <w:shd w:val="clear" w:color="auto" w:fill="FFFFFF"/>
        </w:rPr>
        <w:t xml:space="preserve">consideration of </w:t>
      </w:r>
      <w:r w:rsidR="006477DF" w:rsidRPr="006477DF">
        <w:rPr>
          <w:shd w:val="clear" w:color="auto" w:fill="FFFFFF"/>
        </w:rPr>
        <w:t xml:space="preserve">using multiple procurements </w:t>
      </w:r>
      <w:r w:rsidR="0073275E">
        <w:rPr>
          <w:shd w:val="clear" w:color="auto" w:fill="FFFFFF"/>
        </w:rPr>
        <w:t>to</w:t>
      </w:r>
      <w:r w:rsidR="006477DF" w:rsidRPr="006477DF">
        <w:rPr>
          <w:shd w:val="clear" w:color="auto" w:fill="FFFFFF"/>
        </w:rPr>
        <w:t xml:space="preserve"> separate the cloud professional services from the hosting services. </w:t>
      </w:r>
      <w:r w:rsidR="00A96B9A">
        <w:rPr>
          <w:shd w:val="clear" w:color="auto" w:fill="FFFFFF"/>
        </w:rPr>
        <w:t>D</w:t>
      </w:r>
      <w:r w:rsidR="006477DF" w:rsidRPr="006477DF">
        <w:rPr>
          <w:shd w:val="clear" w:color="auto" w:fill="FFFFFF"/>
        </w:rPr>
        <w:t xml:space="preserve">oing so allows agencies to swap out </w:t>
      </w:r>
      <w:r w:rsidR="00EE6727">
        <w:rPr>
          <w:shd w:val="clear" w:color="auto" w:fill="FFFFFF"/>
        </w:rPr>
        <w:t>CSPs</w:t>
      </w:r>
      <w:r w:rsidR="006477DF" w:rsidRPr="006477DF">
        <w:rPr>
          <w:shd w:val="clear" w:color="auto" w:fill="FFFFFF"/>
        </w:rPr>
        <w:t xml:space="preserve"> without interrupting the work being done by the cloud professional services contractor or vice versa preventing vendor lock-in.</w:t>
      </w:r>
      <w:r w:rsidR="00801F70">
        <w:rPr>
          <w:highlight w:val="white"/>
        </w:rPr>
        <w:t xml:space="preserve"> </w:t>
      </w:r>
    </w:p>
    <w:p w14:paraId="11FB865E" w14:textId="24E3A777" w:rsidR="0003238D" w:rsidRDefault="005832B8" w:rsidP="00BE384B">
      <w:pPr>
        <w:pStyle w:val="Caption"/>
      </w:pPr>
      <w:bookmarkStart w:id="31" w:name="_Toc487802638"/>
      <w:r>
        <w:t>Exhibit</w:t>
      </w:r>
      <w:r w:rsidR="0003238D">
        <w:t xml:space="preserve"> </w:t>
      </w:r>
      <w:fldSimple w:instr=" SEQ Exhibit \* ARABIC ">
        <w:r w:rsidR="00E122BF">
          <w:rPr>
            <w:noProof/>
          </w:rPr>
          <w:t>8</w:t>
        </w:r>
      </w:fldSimple>
      <w:r w:rsidR="0003238D">
        <w:t xml:space="preserve"> - Contract Options Representation</w:t>
      </w:r>
      <w:bookmarkEnd w:id="31"/>
    </w:p>
    <w:p w14:paraId="4B363C47" w14:textId="7468D2B7" w:rsidR="006B06BB" w:rsidRDefault="006B06BB" w:rsidP="00320DE1">
      <w:pPr>
        <w:pStyle w:val="Graphic"/>
        <w:rPr>
          <w:highlight w:val="white"/>
        </w:rPr>
      </w:pPr>
      <w:r w:rsidRPr="006B06BB">
        <w:drawing>
          <wp:inline distT="0" distB="0" distL="0" distR="0" wp14:anchorId="7468A107" wp14:editId="7C130682">
            <wp:extent cx="5943382" cy="3338623"/>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9541" b="15560"/>
                    <a:stretch/>
                  </pic:blipFill>
                  <pic:spPr bwMode="auto">
                    <a:xfrm>
                      <a:off x="0" y="0"/>
                      <a:ext cx="5943600" cy="3338746"/>
                    </a:xfrm>
                    <a:prstGeom prst="rect">
                      <a:avLst/>
                    </a:prstGeom>
                    <a:ln>
                      <a:noFill/>
                    </a:ln>
                    <a:extLst>
                      <a:ext uri="{53640926-AAD7-44D8-BBD7-CCE9431645EC}">
                        <a14:shadowObscured xmlns:a14="http://schemas.microsoft.com/office/drawing/2010/main"/>
                      </a:ext>
                    </a:extLst>
                  </pic:spPr>
                </pic:pic>
              </a:graphicData>
            </a:graphic>
          </wp:inline>
        </w:drawing>
      </w:r>
    </w:p>
    <w:p w14:paraId="15F6EE01" w14:textId="2CF6490E" w:rsidR="00742FA8" w:rsidRDefault="005A31BA" w:rsidP="00EB05DA">
      <w:r>
        <w:t>Similar to considering how and where professional services will be required as part of a cloud adoption strategy, cloud application architecture provides additional options to enhance enterprise agility in contracting for cloud IT services.</w:t>
      </w:r>
      <w:r w:rsidR="00534845">
        <w:t xml:space="preserve"> </w:t>
      </w:r>
      <w:r>
        <w:t>Opportunities can exist, or can be created through planning via enterprise architecture efforts within a cloud strategy, to strategically segregate the hosting and contracting of major components of IT systems.</w:t>
      </w:r>
      <w:r w:rsidR="00534845">
        <w:t xml:space="preserve"> </w:t>
      </w:r>
      <w:r>
        <w:t xml:space="preserve">For example, a SaaS presentation layer might be separately hosted from the data store </w:t>
      </w:r>
      <w:r w:rsidR="005664DA">
        <w:t xml:space="preserve">which undergirds </w:t>
      </w:r>
      <w:r>
        <w:t>the system.</w:t>
      </w:r>
      <w:r w:rsidR="00534845">
        <w:t xml:space="preserve"> </w:t>
      </w:r>
      <w:r>
        <w:t>This would allow a potentially less complicated and less risky migration of a support contract from an underperforming vendor to a new contractor. Agencies could consider this multiple cloud strategy across other applications as well using a Cloud of Clouds approach allowing for a combined public and private cloud environment</w:t>
      </w:r>
      <w:r w:rsidR="00320DE1">
        <w:t>,</w:t>
      </w:r>
      <w:r>
        <w:t xml:space="preserve"> as well as services and platforms from a diverse set of independent software vendors working harmoniously in this secure environment.</w:t>
      </w:r>
    </w:p>
    <w:p w14:paraId="63CBF4FE" w14:textId="17EF9BD0" w:rsidR="006477DF" w:rsidRDefault="006477DF" w:rsidP="006477DF">
      <w:r>
        <w:t>Government has struggled with moving the critical mas</w:t>
      </w:r>
      <w:r w:rsidR="000621AF">
        <w:t>s of Government IT to the cloud and therefore</w:t>
      </w:r>
      <w:r>
        <w:t xml:space="preserve"> leaving most of the Federal legacy IT systems intact</w:t>
      </w:r>
      <w:r w:rsidR="000621AF">
        <w:t>.</w:t>
      </w:r>
      <w:r>
        <w:t xml:space="preserve"> </w:t>
      </w:r>
      <w:r w:rsidR="000621AF">
        <w:t>A</w:t>
      </w:r>
      <w:r>
        <w:t xml:space="preserve">gencies remain faced with the challenging task of overhauling legacy systems to </w:t>
      </w:r>
      <w:r w:rsidR="000621AF">
        <w:t xml:space="preserve">transition them to the </w:t>
      </w:r>
      <w:r>
        <w:t xml:space="preserve">cloud. </w:t>
      </w:r>
      <w:r w:rsidR="00443262">
        <w:t xml:space="preserve">One option </w:t>
      </w:r>
      <w:r>
        <w:t xml:space="preserve">would be to adopt a hybrid approach where agencies would strategically move all IT infrastructure to a Contractor Owned/Contractor Operated </w:t>
      </w:r>
      <w:r w:rsidR="00320DE1">
        <w:t xml:space="preserve">(COCO) </w:t>
      </w:r>
      <w:r>
        <w:t>model with cloud capability. This approach would allow agencies to move all IT infrastructure to a contractor and immediately migrate all “cloud ready” systems and applications into a cloud environment. Agencies can then work with the contractor on a transition strategy, in a phased approach, to begin migrating legacy systems to cloud</w:t>
      </w:r>
      <w:r w:rsidR="005664DA">
        <w:t>-</w:t>
      </w:r>
      <w:r>
        <w:t>enabled technology</w:t>
      </w:r>
      <w:r w:rsidR="005664DA">
        <w:t>,</w:t>
      </w:r>
      <w:r>
        <w:t xml:space="preserve"> or </w:t>
      </w:r>
      <w:r w:rsidR="00B544D0">
        <w:t>sun-setting</w:t>
      </w:r>
      <w:r>
        <w:t xml:space="preserve"> them in a manageable timeframe wit</w:t>
      </w:r>
      <w:r w:rsidR="00443262">
        <w:t>h</w:t>
      </w:r>
      <w:r w:rsidR="005664DA">
        <w:t xml:space="preserve"> little</w:t>
      </w:r>
      <w:r>
        <w:t xml:space="preserve"> risk</w:t>
      </w:r>
      <w:r w:rsidR="005664DA">
        <w:t xml:space="preserve"> if needed</w:t>
      </w:r>
      <w:r>
        <w:t>.</w:t>
      </w:r>
    </w:p>
    <w:p w14:paraId="78E65745" w14:textId="6E6C8BFC" w:rsidR="00742FA8" w:rsidRDefault="006477DF" w:rsidP="00EB05DA">
      <w:r>
        <w:t xml:space="preserve">Agencies can also strategically segregate contracting actions, </w:t>
      </w:r>
      <w:r w:rsidR="005765EC">
        <w:t>often</w:t>
      </w:r>
      <w:r w:rsidR="005664DA">
        <w:t xml:space="preserve"> </w:t>
      </w:r>
      <w:r>
        <w:t>based on hosting versus professional services</w:t>
      </w:r>
      <w:r w:rsidR="005664DA">
        <w:t>,</w:t>
      </w:r>
      <w:r>
        <w:t xml:space="preserve"> by presentation layer versus data layer</w:t>
      </w:r>
      <w:r w:rsidR="005765EC">
        <w:t>, or a combination of these approaches</w:t>
      </w:r>
      <w:r>
        <w:t xml:space="preserve">. By doing so, various risk tradeoffs can be optimized to match individual organizational needs. It also allows agencies to take a more focused approach to each portion of their cloud acquisition strategy and as agencies gain maturity in the cloud, these approaches can be considered and tailored to maintain agility and responsiveness within IT. </w:t>
      </w:r>
    </w:p>
    <w:p w14:paraId="62A05660" w14:textId="1EA789E4" w:rsidR="008E1EAF" w:rsidRDefault="008E1EAF" w:rsidP="00EB05DA">
      <w:r>
        <w:t>All cloud services must implement the FedRAMP cloud security baseline controls</w:t>
      </w:r>
      <w:r w:rsidR="005664DA">
        <w:t>. These controls are represented</w:t>
      </w:r>
      <w:r w:rsidR="005765EC">
        <w:t xml:space="preserve"> </w:t>
      </w:r>
      <w:r w:rsidR="005664DA">
        <w:t xml:space="preserve">in </w:t>
      </w:r>
      <w:r>
        <w:t>the necessary contract language available on the FedRAMP website. It is important to note that current Federal (but not DoD</w:t>
      </w:r>
      <w:r>
        <w:rPr>
          <w:vertAlign w:val="superscript"/>
        </w:rPr>
        <w:footnoteReference w:id="11"/>
      </w:r>
      <w:r>
        <w:t>) policy does not require the cloud service offering to already have a demonstrated FedRAMP authorization at the time of award. The standard contracting language</w:t>
      </w:r>
      <w:r w:rsidR="000D1F20">
        <w:t>, rather,</w:t>
      </w:r>
      <w:r>
        <w:t xml:space="preserve"> requires that the vendor </w:t>
      </w:r>
      <w:r w:rsidR="00F5326E">
        <w:t>have the capability</w:t>
      </w:r>
      <w:r>
        <w:t xml:space="preserve"> to comply with the FedRAMP standards</w:t>
      </w:r>
      <w:r w:rsidR="00F5326E">
        <w:t xml:space="preserve"> at award</w:t>
      </w:r>
      <w:r>
        <w:t>. However, in the interest of speed to deployment of the cloud services</w:t>
      </w:r>
      <w:r w:rsidR="009B2ED1">
        <w:t>,</w:t>
      </w:r>
      <w:r>
        <w:t xml:space="preserve"> or for other reasons, an agency may require that the CSP already possess a FedRAMP authorization to be eligible for contract award. For this requirement to withstand protest and meet fair opportunity requirements there must be a sufficient number of contractors capable of meeting the overall contract requirements. This constitutes an additional factor that may trigger limited source justifications.</w:t>
      </w:r>
    </w:p>
    <w:p w14:paraId="37AEEBFA" w14:textId="77777777" w:rsidR="00742FA8" w:rsidRDefault="005A31BA" w:rsidP="00E122BF">
      <w:pPr>
        <w:pStyle w:val="Heading2"/>
      </w:pPr>
      <w:bookmarkStart w:id="32" w:name="_Toc487802627"/>
      <w:r>
        <w:t>Blanket Purchase Agreements</w:t>
      </w:r>
      <w:bookmarkEnd w:id="32"/>
    </w:p>
    <w:p w14:paraId="4C9F9DAD" w14:textId="557D78C4" w:rsidR="00742FA8" w:rsidRPr="00F5326E" w:rsidRDefault="005A31BA" w:rsidP="00EB05DA">
      <w:pPr>
        <w:rPr>
          <w:color w:val="000000" w:themeColor="text1"/>
        </w:rPr>
      </w:pPr>
      <w:r w:rsidRPr="00F5326E">
        <w:rPr>
          <w:color w:val="000000" w:themeColor="text1"/>
        </w:rPr>
        <w:t>Blanket Purchase Agreements (BPAs) are an important tool that can be used to solve certain elaborate cloud computing challenges.</w:t>
      </w:r>
      <w:r w:rsidR="00534845" w:rsidRPr="00F5326E">
        <w:rPr>
          <w:color w:val="000000" w:themeColor="text1"/>
        </w:rPr>
        <w:t xml:space="preserve"> </w:t>
      </w:r>
      <w:r w:rsidRPr="00F5326E">
        <w:rPr>
          <w:color w:val="000000" w:themeColor="text1"/>
        </w:rPr>
        <w:t xml:space="preserve">A BPA, governed </w:t>
      </w:r>
      <w:r w:rsidR="007506BA">
        <w:rPr>
          <w:color w:val="000000" w:themeColor="text1"/>
        </w:rPr>
        <w:t>FAR 8.405-3 for GSA Schedule</w:t>
      </w:r>
      <w:r w:rsidR="004C760F">
        <w:rPr>
          <w:color w:val="000000" w:themeColor="text1"/>
        </w:rPr>
        <w:t xml:space="preserve"> opportunities</w:t>
      </w:r>
      <w:r w:rsidRPr="00F5326E">
        <w:rPr>
          <w:color w:val="000000" w:themeColor="text1"/>
        </w:rPr>
        <w:t>, is an administrative arrangement that allows for</w:t>
      </w:r>
      <w:r w:rsidRPr="00F5326E">
        <w:rPr>
          <w:color w:val="000000" w:themeColor="text1"/>
          <w:sz w:val="26"/>
          <w:highlight w:val="white"/>
        </w:rPr>
        <w:t xml:space="preserve"> </w:t>
      </w:r>
      <w:r w:rsidRPr="00F5326E">
        <w:rPr>
          <w:color w:val="000000" w:themeColor="text1"/>
          <w:highlight w:val="white"/>
        </w:rPr>
        <w:t>the evaluation of different contractors on Schedule for a particular category of supply or service</w:t>
      </w:r>
      <w:r w:rsidR="00A926C1">
        <w:rPr>
          <w:color w:val="000000" w:themeColor="text1"/>
          <w:highlight w:val="white"/>
        </w:rPr>
        <w:t>,</w:t>
      </w:r>
      <w:r w:rsidRPr="00F5326E">
        <w:rPr>
          <w:color w:val="000000" w:themeColor="text1"/>
          <w:highlight w:val="white"/>
        </w:rPr>
        <w:t xml:space="preserve"> and provides</w:t>
      </w:r>
      <w:r w:rsidRPr="00F5326E">
        <w:rPr>
          <w:color w:val="000000" w:themeColor="text1"/>
          <w:sz w:val="26"/>
          <w:highlight w:val="white"/>
        </w:rPr>
        <w:t xml:space="preserve"> </w:t>
      </w:r>
      <w:r w:rsidRPr="00F5326E">
        <w:rPr>
          <w:color w:val="000000" w:themeColor="text1"/>
        </w:rPr>
        <w:t xml:space="preserve">a simplified method of filling anticipated recurring needs for goods and services by establishing </w:t>
      </w:r>
      <w:r w:rsidR="00293AEF">
        <w:rPr>
          <w:color w:val="000000" w:themeColor="text1"/>
        </w:rPr>
        <w:t>an indefinite delivery indefinite quantity (IDIQ) instrument</w:t>
      </w:r>
      <w:r w:rsidRPr="00F5326E">
        <w:rPr>
          <w:color w:val="000000" w:themeColor="text1"/>
        </w:rPr>
        <w:t xml:space="preserve"> with those contractors who </w:t>
      </w:r>
      <w:r w:rsidR="00293AEF">
        <w:rPr>
          <w:color w:val="000000" w:themeColor="text1"/>
        </w:rPr>
        <w:t>are</w:t>
      </w:r>
      <w:r w:rsidRPr="00F5326E">
        <w:rPr>
          <w:color w:val="000000" w:themeColor="text1"/>
        </w:rPr>
        <w:t xml:space="preserve"> qualified sources of supply. A BPA is not a contract</w:t>
      </w:r>
      <w:r w:rsidR="00A926C1">
        <w:rPr>
          <w:color w:val="000000" w:themeColor="text1"/>
        </w:rPr>
        <w:t>,</w:t>
      </w:r>
      <w:r w:rsidRPr="00F5326E">
        <w:rPr>
          <w:color w:val="000000" w:themeColor="text1"/>
        </w:rPr>
        <w:t xml:space="preserve"> and it does not obligate funds. A BPA simply establishes the terms and conditions under which a purchase would occur including contract types and clauses. </w:t>
      </w:r>
    </w:p>
    <w:p w14:paraId="2270D71B" w14:textId="7D9BA703" w:rsidR="00742FA8" w:rsidRPr="00F5326E" w:rsidRDefault="005A31BA" w:rsidP="00EB05DA">
      <w:pPr>
        <w:rPr>
          <w:color w:val="000000" w:themeColor="text1"/>
        </w:rPr>
      </w:pPr>
      <w:r w:rsidRPr="00F5326E">
        <w:rPr>
          <w:color w:val="000000" w:themeColor="text1"/>
        </w:rPr>
        <w:t xml:space="preserve">BPAs provide for convenience, efficiency, and reduced costs as well as a simplified ordering process. Multiple agencies can band together to place orders for similar requirements. There is much less overhead relative to all agencies and agencies can increase their purchasing power to get volume discounts. BPAs offer </w:t>
      </w:r>
      <w:r w:rsidR="00A926C1" w:rsidRPr="00F5326E">
        <w:rPr>
          <w:color w:val="000000" w:themeColor="text1"/>
        </w:rPr>
        <w:t>shorte</w:t>
      </w:r>
      <w:r w:rsidR="00A926C1">
        <w:rPr>
          <w:color w:val="000000" w:themeColor="text1"/>
        </w:rPr>
        <w:t>ned</w:t>
      </w:r>
      <w:r w:rsidRPr="00F5326E">
        <w:rPr>
          <w:color w:val="000000" w:themeColor="text1"/>
        </w:rPr>
        <w:t xml:space="preserve"> acquisition lead times and agencies can reuse or leverage requirements other agencies have already developed. BPAs </w:t>
      </w:r>
      <w:r w:rsidR="004C760F">
        <w:rPr>
          <w:color w:val="000000" w:themeColor="text1"/>
        </w:rPr>
        <w:t xml:space="preserve">formed under a GSA Schedule </w:t>
      </w:r>
      <w:r w:rsidRPr="00F5326E">
        <w:rPr>
          <w:color w:val="000000" w:themeColor="text1"/>
        </w:rPr>
        <w:t xml:space="preserve">are not synopsized as part of the </w:t>
      </w:r>
      <w:r w:rsidR="004C760F">
        <w:rPr>
          <w:color w:val="000000" w:themeColor="text1"/>
        </w:rPr>
        <w:t>solicitation</w:t>
      </w:r>
      <w:r w:rsidRPr="00F5326E">
        <w:rPr>
          <w:color w:val="000000" w:themeColor="text1"/>
        </w:rPr>
        <w:t xml:space="preserve"> process. </w:t>
      </w:r>
      <w:r w:rsidRPr="00F5326E">
        <w:rPr>
          <w:color w:val="000000" w:themeColor="text1"/>
          <w:highlight w:val="white"/>
        </w:rPr>
        <w:t xml:space="preserve">A BPA can be established with one Schedule contractor or multiple contractors in accordance with FAR 8.405-3, referred to as </w:t>
      </w:r>
      <w:r w:rsidR="004C760F">
        <w:rPr>
          <w:color w:val="000000" w:themeColor="text1"/>
          <w:highlight w:val="white"/>
        </w:rPr>
        <w:t xml:space="preserve">a </w:t>
      </w:r>
      <w:r w:rsidRPr="00F5326E">
        <w:rPr>
          <w:color w:val="000000" w:themeColor="text1"/>
          <w:highlight w:val="white"/>
        </w:rPr>
        <w:t xml:space="preserve">Single-Award BPA or </w:t>
      </w:r>
      <w:r w:rsidR="004C760F">
        <w:rPr>
          <w:color w:val="000000" w:themeColor="text1"/>
          <w:highlight w:val="white"/>
        </w:rPr>
        <w:t xml:space="preserve">a </w:t>
      </w:r>
      <w:r w:rsidRPr="00F5326E">
        <w:rPr>
          <w:color w:val="000000" w:themeColor="text1"/>
          <w:highlight w:val="white"/>
        </w:rPr>
        <w:t xml:space="preserve">Multiple-Award BPA. The preference (established through 8.405-3) is for multiple-award BPAs and leaves the discretion of number of BPA awards to the </w:t>
      </w:r>
      <w:r w:rsidRPr="00E30374">
        <w:rPr>
          <w:color w:val="000000" w:themeColor="text1"/>
        </w:rPr>
        <w:t xml:space="preserve">ordering activity, and should be based on maximizing the effectiveness of the BPA(s). </w:t>
      </w:r>
    </w:p>
    <w:p w14:paraId="5DF8F7CE" w14:textId="1EB6D5D3" w:rsidR="00742FA8" w:rsidRPr="00F5326E" w:rsidRDefault="005A31BA" w:rsidP="00EB05DA">
      <w:pPr>
        <w:rPr>
          <w:color w:val="000000" w:themeColor="text1"/>
          <w:highlight w:val="white"/>
        </w:rPr>
      </w:pPr>
      <w:r w:rsidRPr="00F5326E">
        <w:rPr>
          <w:color w:val="000000" w:themeColor="text1"/>
          <w:highlight w:val="white"/>
        </w:rPr>
        <w:t>The DHS Enterprise Computing Services (ECS) BPA is a prime example for using a BPA. ECS provides Cloud Hosting Services for the agencies under DHS</w:t>
      </w:r>
      <w:r w:rsidR="00A926C1">
        <w:rPr>
          <w:color w:val="000000" w:themeColor="text1"/>
          <w:highlight w:val="white"/>
        </w:rPr>
        <w:t>,</w:t>
      </w:r>
      <w:r w:rsidRPr="00F5326E">
        <w:rPr>
          <w:color w:val="000000" w:themeColor="text1"/>
          <w:highlight w:val="white"/>
        </w:rPr>
        <w:t xml:space="preserve"> and allows for terms and conditions to be set at the contract level as any solution offered on the BPA must be FedRAMP authorized. Agencies can leverage the contract for recurring requirements under separate tasks that provide DHS an opportunity for leveraging further discounts at the </w:t>
      </w:r>
      <w:r w:rsidR="009F2CBF" w:rsidRPr="00F5326E">
        <w:rPr>
          <w:color w:val="000000" w:themeColor="text1"/>
          <w:highlight w:val="white"/>
        </w:rPr>
        <w:t>TO</w:t>
      </w:r>
      <w:r w:rsidRPr="00F5326E">
        <w:rPr>
          <w:color w:val="000000" w:themeColor="text1"/>
          <w:highlight w:val="white"/>
        </w:rPr>
        <w:t xml:space="preserve"> level.</w:t>
      </w:r>
    </w:p>
    <w:p w14:paraId="3347813D" w14:textId="55344573" w:rsidR="00742FA8" w:rsidRPr="00F5326E" w:rsidRDefault="005A31BA" w:rsidP="00EB05DA">
      <w:pPr>
        <w:rPr>
          <w:color w:val="000000" w:themeColor="text1"/>
          <w:highlight w:val="white"/>
        </w:rPr>
      </w:pPr>
      <w:r w:rsidRPr="00F5326E">
        <w:rPr>
          <w:color w:val="000000" w:themeColor="text1"/>
          <w:highlight w:val="white"/>
        </w:rPr>
        <w:t>Another good example of the use of a federal-wide, multiple awar</w:t>
      </w:r>
      <w:r w:rsidR="00624275">
        <w:rPr>
          <w:color w:val="000000" w:themeColor="text1"/>
          <w:highlight w:val="white"/>
        </w:rPr>
        <w:t>d</w:t>
      </w:r>
      <w:r w:rsidRPr="00F5326E">
        <w:rPr>
          <w:color w:val="000000" w:themeColor="text1"/>
          <w:highlight w:val="white"/>
        </w:rPr>
        <w:t xml:space="preserve"> BPA is the Email as a Service </w:t>
      </w:r>
      <w:r w:rsidR="007342FC" w:rsidRPr="00F5326E">
        <w:rPr>
          <w:color w:val="000000" w:themeColor="text1"/>
          <w:highlight w:val="white"/>
        </w:rPr>
        <w:t xml:space="preserve">(EaaS) </w:t>
      </w:r>
      <w:r w:rsidRPr="00F5326E">
        <w:rPr>
          <w:color w:val="000000" w:themeColor="text1"/>
          <w:highlight w:val="white"/>
        </w:rPr>
        <w:t xml:space="preserve">BPA. The BPA(s) were awarded to 14 companies and provided email, collaboration, records management, integration, and migration services. </w:t>
      </w:r>
      <w:r w:rsidR="00B544D0" w:rsidRPr="00F5326E">
        <w:rPr>
          <w:color w:val="000000" w:themeColor="text1"/>
          <w:highlight w:val="white"/>
        </w:rPr>
        <w:t xml:space="preserve">It had distinct requirements across each of the solutions that were uniform in nature and fit the definition of “recurring needs for goods and services with those contractors who have qualified sources of supply” such as the email as a service offering </w:t>
      </w:r>
      <w:r w:rsidR="00657E07" w:rsidRPr="00F5326E">
        <w:rPr>
          <w:color w:val="000000" w:themeColor="text1"/>
          <w:highlight w:val="white"/>
        </w:rPr>
        <w:t xml:space="preserve">which provided </w:t>
      </w:r>
      <w:r w:rsidR="00A926C1">
        <w:rPr>
          <w:color w:val="000000" w:themeColor="text1"/>
          <w:highlight w:val="white"/>
        </w:rPr>
        <w:t>four</w:t>
      </w:r>
      <w:r w:rsidR="00A926C1" w:rsidRPr="00F5326E">
        <w:rPr>
          <w:color w:val="000000" w:themeColor="text1"/>
          <w:highlight w:val="white"/>
        </w:rPr>
        <w:t xml:space="preserve"> </w:t>
      </w:r>
      <w:r w:rsidR="00B544D0" w:rsidRPr="00F5326E">
        <w:rPr>
          <w:color w:val="000000" w:themeColor="text1"/>
          <w:highlight w:val="white"/>
        </w:rPr>
        <w:t xml:space="preserve">solutions - Google, O365, Microsoft Exchange, and Zimbra. </w:t>
      </w:r>
      <w:r w:rsidRPr="00F5326E">
        <w:rPr>
          <w:color w:val="000000" w:themeColor="text1"/>
          <w:highlight w:val="white"/>
        </w:rPr>
        <w:t xml:space="preserve">With the terms and conditions and discounted pricing set at the BPA level, task orders were streamlined and allowed for even lower negotiated pricing at that level. </w:t>
      </w:r>
    </w:p>
    <w:p w14:paraId="5935CE1C" w14:textId="601FCDED" w:rsidR="00742FA8" w:rsidRPr="00F5326E" w:rsidRDefault="005A31BA" w:rsidP="00EB05DA">
      <w:pPr>
        <w:rPr>
          <w:color w:val="000000" w:themeColor="text1"/>
          <w:highlight w:val="white"/>
        </w:rPr>
      </w:pPr>
      <w:r w:rsidRPr="00F5326E">
        <w:rPr>
          <w:color w:val="000000" w:themeColor="text1"/>
          <w:highlight w:val="white"/>
        </w:rPr>
        <w:t>BPAs can apply across a host of opportunities and should be considered as a viable procurement strategy.</w:t>
      </w:r>
      <w:r w:rsidR="00534845" w:rsidRPr="00F5326E">
        <w:rPr>
          <w:color w:val="000000" w:themeColor="text1"/>
          <w:highlight w:val="white"/>
        </w:rPr>
        <w:t xml:space="preserve"> </w:t>
      </w:r>
      <w:r w:rsidRPr="00F5326E">
        <w:rPr>
          <w:color w:val="000000" w:themeColor="text1"/>
          <w:highlight w:val="white"/>
        </w:rPr>
        <w:t xml:space="preserve">For example, </w:t>
      </w:r>
      <w:r w:rsidR="004C760F">
        <w:rPr>
          <w:color w:val="000000" w:themeColor="text1"/>
          <w:highlight w:val="white"/>
        </w:rPr>
        <w:t xml:space="preserve">the </w:t>
      </w:r>
      <w:r w:rsidRPr="00F5326E">
        <w:rPr>
          <w:color w:val="000000" w:themeColor="text1"/>
          <w:highlight w:val="white"/>
        </w:rPr>
        <w:t>Army ACCENT</w:t>
      </w:r>
      <w:r w:rsidR="00657E07" w:rsidRPr="00F5326E">
        <w:rPr>
          <w:rStyle w:val="FootnoteReference"/>
          <w:color w:val="000000" w:themeColor="text1"/>
          <w:highlight w:val="white"/>
        </w:rPr>
        <w:footnoteReference w:id="12"/>
      </w:r>
      <w:r w:rsidRPr="00F5326E">
        <w:rPr>
          <w:color w:val="000000" w:themeColor="text1"/>
          <w:highlight w:val="white"/>
        </w:rPr>
        <w:t xml:space="preserve"> </w:t>
      </w:r>
      <w:r w:rsidR="004C760F">
        <w:rPr>
          <w:color w:val="000000" w:themeColor="text1"/>
          <w:highlight w:val="white"/>
        </w:rPr>
        <w:t xml:space="preserve">IDIQ </w:t>
      </w:r>
      <w:r w:rsidRPr="00F5326E">
        <w:rPr>
          <w:color w:val="000000" w:themeColor="text1"/>
          <w:highlight w:val="white"/>
        </w:rPr>
        <w:t xml:space="preserve">had many characteristics that fit a BPA procurement strategy such as recurring transition requirements. Army wanted a standard tool that preset all the base requirements for their estimated 10,000 applications that are to be migrated to the cloud. The contract requirements included </w:t>
      </w:r>
      <w:r w:rsidR="00A926C1">
        <w:rPr>
          <w:color w:val="000000" w:themeColor="text1"/>
          <w:highlight w:val="white"/>
        </w:rPr>
        <w:t>IaaS</w:t>
      </w:r>
      <w:r w:rsidRPr="00F5326E">
        <w:rPr>
          <w:color w:val="000000" w:themeColor="text1"/>
          <w:highlight w:val="white"/>
        </w:rPr>
        <w:t xml:space="preserve">, </w:t>
      </w:r>
      <w:r w:rsidR="00A926C1">
        <w:rPr>
          <w:color w:val="000000" w:themeColor="text1"/>
          <w:highlight w:val="white"/>
        </w:rPr>
        <w:t>SaaS</w:t>
      </w:r>
      <w:r w:rsidRPr="00F5326E">
        <w:rPr>
          <w:color w:val="000000" w:themeColor="text1"/>
          <w:highlight w:val="white"/>
        </w:rPr>
        <w:t xml:space="preserve">, and </w:t>
      </w:r>
      <w:r w:rsidR="00A926C1">
        <w:rPr>
          <w:color w:val="000000" w:themeColor="text1"/>
          <w:highlight w:val="white"/>
        </w:rPr>
        <w:t>PaaS</w:t>
      </w:r>
      <w:r w:rsidRPr="00F5326E">
        <w:rPr>
          <w:color w:val="000000" w:themeColor="text1"/>
          <w:highlight w:val="white"/>
        </w:rPr>
        <w:t xml:space="preserve"> offerings and had offerors demonstrate a DISA issued Provisional Authority for award.</w:t>
      </w:r>
      <w:r w:rsidR="00534845" w:rsidRPr="00F5326E">
        <w:rPr>
          <w:color w:val="000000" w:themeColor="text1"/>
          <w:highlight w:val="white"/>
        </w:rPr>
        <w:t xml:space="preserve"> </w:t>
      </w:r>
      <w:r w:rsidRPr="00F5326E">
        <w:rPr>
          <w:color w:val="000000" w:themeColor="text1"/>
          <w:highlight w:val="white"/>
        </w:rPr>
        <w:t>It further included in scope all the IT professional services needed to fully support and execute the transition and migration of these applications.</w:t>
      </w:r>
      <w:r w:rsidR="00534845" w:rsidRPr="00F5326E">
        <w:rPr>
          <w:color w:val="000000" w:themeColor="text1"/>
          <w:highlight w:val="white"/>
        </w:rPr>
        <w:t xml:space="preserve"> </w:t>
      </w:r>
      <w:r w:rsidRPr="00F5326E">
        <w:rPr>
          <w:color w:val="000000" w:themeColor="text1"/>
          <w:highlight w:val="white"/>
        </w:rPr>
        <w:t>Although ACCENT was not itself executed as a BPA, it is an excellent example of a use case for a cloud BPA that includes migration services in contrast to the DHS ECS BPA which is limited to CSP services.</w:t>
      </w:r>
    </w:p>
    <w:p w14:paraId="0030F6EC" w14:textId="77777777" w:rsidR="00742FA8" w:rsidRDefault="005A31BA" w:rsidP="00EB05DA">
      <w:r w:rsidRPr="00F5326E">
        <w:rPr>
          <w:color w:val="000000" w:themeColor="text1"/>
          <w:highlight w:val="white"/>
        </w:rPr>
        <w:t>When establishing a BPA, the ordering activity must address the frequency of ordering, invoicing, discounts, requirements (e.g., estimated quantities, work to be performed), delivery locations</w:t>
      </w:r>
      <w:r w:rsidR="00A926C1">
        <w:rPr>
          <w:color w:val="000000" w:themeColor="text1"/>
          <w:highlight w:val="white"/>
        </w:rPr>
        <w:t>,</w:t>
      </w:r>
      <w:r w:rsidRPr="00F5326E">
        <w:rPr>
          <w:color w:val="000000" w:themeColor="text1"/>
          <w:highlight w:val="white"/>
        </w:rPr>
        <w:t xml:space="preserve"> and time. For information on establishing a BPA, please refer to </w:t>
      </w:r>
      <w:r w:rsidRPr="000B2C57">
        <w:rPr>
          <w:color w:val="1155CC"/>
          <w:highlight w:val="white"/>
        </w:rPr>
        <w:t>https://www.gsa.gov/portal/content/199393</w:t>
      </w:r>
      <w:r>
        <w:rPr>
          <w:color w:val="333333"/>
          <w:highlight w:val="white"/>
        </w:rPr>
        <w:t>.</w:t>
      </w:r>
    </w:p>
    <w:p w14:paraId="3A34F153" w14:textId="28B775E1" w:rsidR="00CE786C" w:rsidRDefault="00CE786C" w:rsidP="00EB05DA"/>
    <w:p w14:paraId="4EA3A0D2" w14:textId="77777777" w:rsidR="00CE786C" w:rsidRPr="00B544D0" w:rsidRDefault="00CE786C">
      <w:pPr>
        <w:spacing w:after="120" w:line="360" w:lineRule="auto"/>
      </w:pPr>
      <w:r w:rsidRPr="00B544D0">
        <w:br w:type="page"/>
      </w:r>
    </w:p>
    <w:p w14:paraId="1EFE6C37" w14:textId="5153B2FC" w:rsidR="00CF7D18" w:rsidRDefault="005B2D75" w:rsidP="00A76CF5">
      <w:pPr>
        <w:pStyle w:val="Heading1"/>
        <w:rPr>
          <w:rFonts w:eastAsia="Cambria"/>
        </w:rPr>
      </w:pPr>
      <w:bookmarkStart w:id="33" w:name="_Toc487802628"/>
      <w:r>
        <w:rPr>
          <w:rFonts w:eastAsia="Cambria"/>
        </w:rPr>
        <w:t>Selected References</w:t>
      </w:r>
      <w:bookmarkEnd w:id="33"/>
    </w:p>
    <w:p w14:paraId="407C89ED" w14:textId="178C582E" w:rsidR="008F431B" w:rsidRPr="0057324B" w:rsidRDefault="008F431B" w:rsidP="00624275">
      <w:pPr>
        <w:pStyle w:val="BodyBullet1"/>
        <w:rPr>
          <w:rFonts w:ascii="Cambria" w:eastAsia="Cambria" w:hAnsi="Cambria" w:cs="Cambria"/>
        </w:rPr>
      </w:pPr>
      <w:r w:rsidRPr="0057324B">
        <w:rPr>
          <w:rFonts w:eastAsia="Cambria" w:cs="Times New Roman"/>
        </w:rPr>
        <w:t xml:space="preserve">Army, </w:t>
      </w:r>
      <w:hyperlink r:id="rId43" w:history="1">
        <w:r w:rsidRPr="0057324B">
          <w:rPr>
            <w:rStyle w:val="Hyperlink"/>
            <w:rFonts w:eastAsia="Cambria" w:cs="Times New Roman"/>
          </w:rPr>
          <w:t>Army Cloud Computing Strategy</w:t>
        </w:r>
      </w:hyperlink>
      <w:r w:rsidRPr="0057324B">
        <w:rPr>
          <w:rFonts w:eastAsia="Cambria" w:cs="Times New Roman"/>
        </w:rPr>
        <w:t>, March 2015</w:t>
      </w:r>
      <w:r w:rsidRPr="0057324B" w:rsidDel="002E6985">
        <w:rPr>
          <w:rFonts w:eastAsia="Cambria" w:cs="Times New Roman"/>
        </w:rPr>
        <w:t xml:space="preserve"> </w:t>
      </w:r>
    </w:p>
    <w:p w14:paraId="04C420D8" w14:textId="7E1F90B5" w:rsidR="008F431B" w:rsidRPr="0057324B" w:rsidRDefault="008F431B" w:rsidP="00624275">
      <w:pPr>
        <w:pStyle w:val="BodyBullet1"/>
        <w:rPr>
          <w:rFonts w:eastAsia="Cambria" w:cs="Times New Roman"/>
        </w:rPr>
      </w:pPr>
      <w:r w:rsidRPr="0057324B">
        <w:rPr>
          <w:rFonts w:eastAsia="Cambria" w:cs="Times New Roman"/>
        </w:rPr>
        <w:t xml:space="preserve">CIO Council, </w:t>
      </w:r>
      <w:hyperlink r:id="rId44" w:history="1">
        <w:r w:rsidRPr="0057324B">
          <w:rPr>
            <w:rStyle w:val="Hyperlink"/>
            <w:rFonts w:eastAsia="Cambria" w:cs="Times New Roman"/>
          </w:rPr>
          <w:t>Creating Effective Cloud Computing Contracts for the Federal Government</w:t>
        </w:r>
      </w:hyperlink>
      <w:r w:rsidRPr="0057324B">
        <w:rPr>
          <w:rFonts w:eastAsia="Cambria" w:cs="Times New Roman"/>
        </w:rPr>
        <w:t xml:space="preserve">, February 2012 </w:t>
      </w:r>
    </w:p>
    <w:p w14:paraId="732CA67A" w14:textId="1BFF7235" w:rsidR="008F431B" w:rsidRPr="0057324B" w:rsidRDefault="008F431B" w:rsidP="00624275">
      <w:pPr>
        <w:pStyle w:val="BodyBullet1"/>
        <w:rPr>
          <w:rFonts w:cs="Times New Roman"/>
          <w:color w:val="000000"/>
          <w:szCs w:val="20"/>
        </w:rPr>
      </w:pPr>
      <w:r w:rsidRPr="0057324B">
        <w:rPr>
          <w:rFonts w:cs="Times New Roman"/>
          <w:color w:val="000000"/>
          <w:szCs w:val="20"/>
        </w:rPr>
        <w:t xml:space="preserve">CIO Council, </w:t>
      </w:r>
      <w:hyperlink r:id="rId45" w:history="1">
        <w:r w:rsidRPr="0057324B">
          <w:rPr>
            <w:rStyle w:val="Hyperlink"/>
            <w:rFonts w:cs="Times New Roman"/>
            <w:szCs w:val="20"/>
          </w:rPr>
          <w:t>Federal Shared Services Implementation Guide</w:t>
        </w:r>
      </w:hyperlink>
      <w:r w:rsidRPr="0057324B">
        <w:rPr>
          <w:rFonts w:cs="Times New Roman"/>
          <w:color w:val="000000"/>
          <w:szCs w:val="20"/>
        </w:rPr>
        <w:t xml:space="preserve">, April 16, 2013 </w:t>
      </w:r>
    </w:p>
    <w:p w14:paraId="12FB9660" w14:textId="31CD17DF" w:rsidR="008F431B" w:rsidRPr="0057324B" w:rsidRDefault="008F431B" w:rsidP="00624275">
      <w:pPr>
        <w:pStyle w:val="BodyBullet1"/>
        <w:rPr>
          <w:rFonts w:eastAsia="Cambria" w:cs="Times New Roman"/>
        </w:rPr>
      </w:pPr>
      <w:r w:rsidRPr="0057324B">
        <w:rPr>
          <w:rFonts w:eastAsia="Cambria" w:cs="Times New Roman"/>
        </w:rPr>
        <w:t xml:space="preserve">DISA, </w:t>
      </w:r>
      <w:hyperlink r:id="rId46" w:history="1">
        <w:r w:rsidRPr="0057324B">
          <w:rPr>
            <w:rStyle w:val="Hyperlink"/>
            <w:rFonts w:eastAsia="Cambria" w:cs="Times New Roman"/>
          </w:rPr>
          <w:t>Best Practices Guide for Department of Defense Cloud Mission Owners</w:t>
        </w:r>
      </w:hyperlink>
      <w:r w:rsidRPr="0057324B">
        <w:rPr>
          <w:rFonts w:eastAsia="Cambria" w:cs="Times New Roman"/>
        </w:rPr>
        <w:t xml:space="preserve">, August 2015 </w:t>
      </w:r>
    </w:p>
    <w:p w14:paraId="58C4A4AF" w14:textId="24199DD4" w:rsidR="008F431B" w:rsidRPr="0057324B" w:rsidRDefault="008F431B" w:rsidP="00624275">
      <w:pPr>
        <w:pStyle w:val="BodyBullet1"/>
        <w:rPr>
          <w:rFonts w:eastAsia="Cambria" w:cs="Times New Roman"/>
        </w:rPr>
      </w:pPr>
      <w:r w:rsidRPr="0057324B">
        <w:rPr>
          <w:rFonts w:eastAsia="Cambria" w:cs="Times New Roman"/>
        </w:rPr>
        <w:t xml:space="preserve">DoD, </w:t>
      </w:r>
      <w:hyperlink r:id="rId47" w:history="1">
        <w:r w:rsidRPr="0057324B">
          <w:rPr>
            <w:rStyle w:val="Hyperlink"/>
            <w:rFonts w:eastAsia="Cambria" w:cs="Times New Roman"/>
          </w:rPr>
          <w:t>Department of Defense Cloud Computing Security Requirements Guide (SRG) v1r3</w:t>
        </w:r>
      </w:hyperlink>
      <w:r w:rsidRPr="0057324B">
        <w:rPr>
          <w:rFonts w:eastAsia="Cambria" w:cs="Times New Roman"/>
        </w:rPr>
        <w:t>, March 6, 2017</w:t>
      </w:r>
      <w:r w:rsidRPr="0057324B">
        <w:rPr>
          <w:rStyle w:val="Hyperlink"/>
        </w:rPr>
        <w:t xml:space="preserve"> </w:t>
      </w:r>
    </w:p>
    <w:p w14:paraId="0AEEB62D" w14:textId="05C8A35D" w:rsidR="008F431B" w:rsidRPr="0057324B" w:rsidRDefault="008F431B" w:rsidP="00624275">
      <w:pPr>
        <w:pStyle w:val="BodyBullet1"/>
        <w:rPr>
          <w:rStyle w:val="Hyperlink"/>
        </w:rPr>
      </w:pPr>
      <w:r w:rsidRPr="0057324B">
        <w:rPr>
          <w:rFonts w:eastAsia="Cambria" w:cs="Times New Roman"/>
        </w:rPr>
        <w:t xml:space="preserve">DoD, </w:t>
      </w:r>
      <w:hyperlink r:id="rId48" w:history="1">
        <w:r w:rsidRPr="0057324B">
          <w:rPr>
            <w:rStyle w:val="Hyperlink"/>
            <w:rFonts w:eastAsia="Cambria" w:cs="Times New Roman"/>
          </w:rPr>
          <w:t>Department of Defense Cloud Computing Strategy</w:t>
        </w:r>
      </w:hyperlink>
      <w:r w:rsidRPr="0057324B">
        <w:rPr>
          <w:rFonts w:eastAsia="Cambria" w:cs="Times New Roman"/>
        </w:rPr>
        <w:t xml:space="preserve">, July 5, 2012 </w:t>
      </w:r>
    </w:p>
    <w:p w14:paraId="7314BD8F" w14:textId="7D2FD5FD" w:rsidR="008F431B" w:rsidRPr="0057324B" w:rsidRDefault="008F431B" w:rsidP="00624275">
      <w:pPr>
        <w:pStyle w:val="BodyBullet1"/>
        <w:rPr>
          <w:rFonts w:eastAsia="Cambria" w:cs="Times New Roman"/>
        </w:rPr>
      </w:pPr>
      <w:r w:rsidRPr="0057324B">
        <w:rPr>
          <w:rFonts w:eastAsia="Cambria" w:cs="Times New Roman"/>
        </w:rPr>
        <w:t xml:space="preserve">GAO, GAO-16-325, </w:t>
      </w:r>
      <w:hyperlink r:id="rId49" w:history="1">
        <w:r w:rsidRPr="0057324B">
          <w:rPr>
            <w:rStyle w:val="Hyperlink"/>
            <w:rFonts w:eastAsia="Cambria" w:cs="Times New Roman"/>
          </w:rPr>
          <w:t>CLOUD COMPUTING: Agencies Need to Incorporate Key Practices to Ensure Effective Performance</w:t>
        </w:r>
      </w:hyperlink>
      <w:r w:rsidRPr="0057324B">
        <w:rPr>
          <w:rFonts w:eastAsia="Cambria" w:cs="Times New Roman"/>
        </w:rPr>
        <w:t xml:space="preserve">, April 7, 2016 </w:t>
      </w:r>
    </w:p>
    <w:p w14:paraId="7DB9089D" w14:textId="2F313562" w:rsidR="008F431B" w:rsidRPr="0057324B" w:rsidRDefault="008F431B" w:rsidP="00624275">
      <w:pPr>
        <w:pStyle w:val="BodyBullet1"/>
        <w:rPr>
          <w:rFonts w:eastAsia="Cambria" w:cs="Times New Roman"/>
        </w:rPr>
      </w:pPr>
      <w:r w:rsidRPr="0057324B">
        <w:rPr>
          <w:rFonts w:eastAsia="Cambria" w:cs="Times New Roman"/>
        </w:rPr>
        <w:t xml:space="preserve">GSA/OMB, </w:t>
      </w:r>
      <w:hyperlink r:id="rId50" w:history="1">
        <w:r w:rsidRPr="0057324B">
          <w:rPr>
            <w:rStyle w:val="Hyperlink"/>
            <w:rFonts w:eastAsia="Cambria" w:cs="Times New Roman"/>
          </w:rPr>
          <w:t>Cloud Migration Services SOO Templates</w:t>
        </w:r>
      </w:hyperlink>
      <w:r w:rsidRPr="0057324B">
        <w:rPr>
          <w:rFonts w:eastAsia="Cambria" w:cs="Times New Roman"/>
        </w:rPr>
        <w:t>, December 2012</w:t>
      </w:r>
    </w:p>
    <w:p w14:paraId="3E8C74EF" w14:textId="0DD9CECA" w:rsidR="008F431B" w:rsidRPr="0057324B" w:rsidRDefault="008F431B" w:rsidP="00624275">
      <w:pPr>
        <w:pStyle w:val="BodyBullet1"/>
        <w:rPr>
          <w:rFonts w:cs="Times New Roman"/>
          <w:color w:val="000000"/>
          <w:szCs w:val="24"/>
        </w:rPr>
      </w:pPr>
      <w:r w:rsidRPr="0057324B">
        <w:rPr>
          <w:rFonts w:cs="Times New Roman"/>
          <w:color w:val="000000"/>
          <w:szCs w:val="24"/>
        </w:rPr>
        <w:t>NIST</w:t>
      </w:r>
      <w:r w:rsidRPr="0057324B">
        <w:rPr>
          <w:rFonts w:cs="Times New Roman"/>
          <w:iCs/>
          <w:color w:val="000000"/>
          <w:szCs w:val="24"/>
        </w:rPr>
        <w:t xml:space="preserve">, </w:t>
      </w:r>
      <w:r w:rsidRPr="0057324B">
        <w:rPr>
          <w:rFonts w:cs="Times New Roman"/>
          <w:szCs w:val="24"/>
        </w:rPr>
        <w:t>NISTIR 7956</w:t>
      </w:r>
      <w:r w:rsidRPr="0057324B">
        <w:rPr>
          <w:rFonts w:cs="Times New Roman"/>
          <w:color w:val="000000"/>
          <w:szCs w:val="24"/>
        </w:rPr>
        <w:t xml:space="preserve">, </w:t>
      </w:r>
      <w:hyperlink r:id="rId51" w:history="1">
        <w:r w:rsidRPr="0057324B">
          <w:rPr>
            <w:rStyle w:val="Hyperlink"/>
            <w:rFonts w:cs="Times New Roman"/>
            <w:iCs/>
            <w:szCs w:val="24"/>
          </w:rPr>
          <w:t>Cryptographic Key Management Issues and Challenges in Cloud Services</w:t>
        </w:r>
      </w:hyperlink>
      <w:r w:rsidRPr="0057324B">
        <w:rPr>
          <w:rFonts w:cs="Times New Roman"/>
          <w:color w:val="000000"/>
          <w:szCs w:val="24"/>
        </w:rPr>
        <w:t xml:space="preserve">, September 2013 </w:t>
      </w:r>
    </w:p>
    <w:p w14:paraId="2D6EBF14" w14:textId="77DEDB38" w:rsidR="008F431B" w:rsidRPr="0057324B" w:rsidRDefault="008F431B" w:rsidP="00624275">
      <w:pPr>
        <w:pStyle w:val="BodyBullet1"/>
        <w:rPr>
          <w:rFonts w:cs="Times New Roman"/>
          <w:color w:val="000000"/>
          <w:szCs w:val="24"/>
        </w:rPr>
      </w:pPr>
      <w:r w:rsidRPr="0057324B">
        <w:rPr>
          <w:rFonts w:cs="Times New Roman"/>
          <w:color w:val="000000"/>
          <w:szCs w:val="24"/>
        </w:rPr>
        <w:t xml:space="preserve">NIST, SP 500-299, </w:t>
      </w:r>
      <w:hyperlink r:id="rId52" w:history="1">
        <w:r w:rsidRPr="0057324B">
          <w:rPr>
            <w:rStyle w:val="Hyperlink"/>
            <w:rFonts w:cs="Times New Roman"/>
            <w:szCs w:val="24"/>
          </w:rPr>
          <w:t>NIST Cloud Computing Security Reference Architecture (Draft)</w:t>
        </w:r>
      </w:hyperlink>
      <w:r w:rsidRPr="0057324B">
        <w:rPr>
          <w:rFonts w:cs="Times New Roman"/>
          <w:color w:val="000000"/>
          <w:szCs w:val="24"/>
        </w:rPr>
        <w:t xml:space="preserve"> </w:t>
      </w:r>
    </w:p>
    <w:p w14:paraId="0CA53C55" w14:textId="3B8CEA41" w:rsidR="008F431B" w:rsidRPr="0057324B" w:rsidRDefault="008F431B" w:rsidP="00624275">
      <w:pPr>
        <w:pStyle w:val="BodyBullet1"/>
        <w:rPr>
          <w:rFonts w:cs="Times New Roman"/>
          <w:color w:val="000000"/>
          <w:szCs w:val="24"/>
        </w:rPr>
      </w:pPr>
      <w:r w:rsidRPr="0057324B">
        <w:rPr>
          <w:rFonts w:cs="Times New Roman"/>
          <w:color w:val="000000"/>
          <w:szCs w:val="24"/>
        </w:rPr>
        <w:t xml:space="preserve">NIST, </w:t>
      </w:r>
      <w:r w:rsidRPr="0057324B">
        <w:rPr>
          <w:rFonts w:cs="Times New Roman"/>
          <w:szCs w:val="24"/>
        </w:rPr>
        <w:t>SP 800-122</w:t>
      </w:r>
      <w:r w:rsidRPr="0057324B">
        <w:rPr>
          <w:rFonts w:cs="Times New Roman"/>
          <w:color w:val="000000"/>
          <w:szCs w:val="24"/>
        </w:rPr>
        <w:t xml:space="preserve">, </w:t>
      </w:r>
      <w:hyperlink r:id="rId53" w:history="1">
        <w:r w:rsidRPr="0057324B">
          <w:rPr>
            <w:rStyle w:val="Hyperlink"/>
            <w:rFonts w:cs="Times New Roman"/>
            <w:iCs/>
            <w:szCs w:val="24"/>
          </w:rPr>
          <w:t>Guide to Protecting the Confidentiality of Personally Identifiable Information (PII)</w:t>
        </w:r>
      </w:hyperlink>
      <w:r w:rsidRPr="0057324B">
        <w:rPr>
          <w:rFonts w:cs="Times New Roman"/>
          <w:color w:val="000000"/>
          <w:szCs w:val="24"/>
        </w:rPr>
        <w:t xml:space="preserve">, April 2010 </w:t>
      </w:r>
    </w:p>
    <w:p w14:paraId="3A084918" w14:textId="2803A3A5" w:rsidR="008F431B" w:rsidRPr="0057324B" w:rsidRDefault="008F431B" w:rsidP="00624275">
      <w:pPr>
        <w:pStyle w:val="BodyBullet1"/>
        <w:rPr>
          <w:rFonts w:cs="Times New Roman"/>
          <w:color w:val="000000"/>
          <w:szCs w:val="24"/>
        </w:rPr>
      </w:pPr>
      <w:r w:rsidRPr="0057324B">
        <w:rPr>
          <w:rFonts w:cs="Times New Roman"/>
          <w:color w:val="000000"/>
          <w:szCs w:val="24"/>
        </w:rPr>
        <w:t xml:space="preserve">NIST, </w:t>
      </w:r>
      <w:r w:rsidRPr="0057324B">
        <w:rPr>
          <w:rFonts w:cs="Times New Roman"/>
          <w:szCs w:val="24"/>
        </w:rPr>
        <w:t>SP 800-125</w:t>
      </w:r>
      <w:r w:rsidRPr="0057324B">
        <w:rPr>
          <w:rFonts w:cs="Times New Roman"/>
          <w:color w:val="000000"/>
          <w:szCs w:val="24"/>
        </w:rPr>
        <w:t xml:space="preserve">, </w:t>
      </w:r>
      <w:hyperlink r:id="rId54" w:history="1">
        <w:r w:rsidRPr="0057324B">
          <w:rPr>
            <w:rStyle w:val="Hyperlink"/>
            <w:rFonts w:cs="Times New Roman"/>
            <w:iCs/>
            <w:szCs w:val="24"/>
          </w:rPr>
          <w:t>Guide to Security for Full Virtualization Technologies</w:t>
        </w:r>
      </w:hyperlink>
      <w:r w:rsidRPr="0057324B">
        <w:rPr>
          <w:rFonts w:cs="Times New Roman"/>
          <w:color w:val="000000"/>
          <w:szCs w:val="24"/>
        </w:rPr>
        <w:t xml:space="preserve">, January 2011 </w:t>
      </w:r>
    </w:p>
    <w:p w14:paraId="6AE8EABE" w14:textId="2EA9B73A" w:rsidR="008F431B" w:rsidRPr="0057324B" w:rsidRDefault="008F431B" w:rsidP="00624275">
      <w:pPr>
        <w:pStyle w:val="BodyBullet1"/>
        <w:rPr>
          <w:rFonts w:cs="Times New Roman"/>
          <w:color w:val="000000"/>
          <w:szCs w:val="24"/>
        </w:rPr>
      </w:pPr>
      <w:r w:rsidRPr="0057324B">
        <w:rPr>
          <w:rFonts w:cs="Times New Roman"/>
          <w:color w:val="000000"/>
          <w:szCs w:val="24"/>
        </w:rPr>
        <w:t xml:space="preserve">NIST, </w:t>
      </w:r>
      <w:r w:rsidRPr="0057324B">
        <w:rPr>
          <w:rFonts w:cs="Times New Roman"/>
          <w:szCs w:val="24"/>
        </w:rPr>
        <w:t>SP 800-144</w:t>
      </w:r>
      <w:r w:rsidRPr="0057324B">
        <w:rPr>
          <w:rFonts w:cs="Times New Roman"/>
          <w:color w:val="000000"/>
          <w:szCs w:val="24"/>
        </w:rPr>
        <w:t xml:space="preserve">, </w:t>
      </w:r>
      <w:hyperlink r:id="rId55" w:history="1">
        <w:r w:rsidRPr="0057324B">
          <w:rPr>
            <w:rStyle w:val="Hyperlink"/>
            <w:rFonts w:cs="Times New Roman"/>
            <w:iCs/>
            <w:szCs w:val="24"/>
          </w:rPr>
          <w:t>Guidelines on Security and Privacy in Public Cloud Computing</w:t>
        </w:r>
      </w:hyperlink>
      <w:r w:rsidRPr="0057324B">
        <w:rPr>
          <w:rFonts w:cs="Times New Roman"/>
          <w:iCs/>
          <w:color w:val="000000"/>
          <w:szCs w:val="24"/>
        </w:rPr>
        <w:t>, December 2011</w:t>
      </w:r>
    </w:p>
    <w:p w14:paraId="51AFAE1C" w14:textId="3FE6EE15" w:rsidR="00CD44DC" w:rsidRPr="0057324B" w:rsidRDefault="008F431B" w:rsidP="00624275">
      <w:pPr>
        <w:pStyle w:val="BodyBullet1"/>
        <w:rPr>
          <w:rFonts w:cs="Times New Roman"/>
          <w:color w:val="000000"/>
          <w:szCs w:val="24"/>
        </w:rPr>
      </w:pPr>
      <w:r w:rsidRPr="0057324B">
        <w:rPr>
          <w:rFonts w:cs="Times New Roman"/>
          <w:color w:val="000000"/>
          <w:szCs w:val="24"/>
        </w:rPr>
        <w:t xml:space="preserve">NIST, </w:t>
      </w:r>
      <w:r w:rsidRPr="0057324B">
        <w:rPr>
          <w:rFonts w:cs="Times New Roman"/>
          <w:szCs w:val="24"/>
        </w:rPr>
        <w:t>SP 800-145</w:t>
      </w:r>
      <w:r w:rsidRPr="0057324B">
        <w:rPr>
          <w:rFonts w:cs="Times New Roman"/>
          <w:color w:val="000000"/>
          <w:szCs w:val="24"/>
        </w:rPr>
        <w:t xml:space="preserve">, </w:t>
      </w:r>
      <w:hyperlink r:id="rId56" w:history="1">
        <w:r w:rsidRPr="0057324B">
          <w:rPr>
            <w:rStyle w:val="Hyperlink"/>
            <w:rFonts w:cs="Times New Roman"/>
            <w:iCs/>
            <w:szCs w:val="24"/>
          </w:rPr>
          <w:t>The NIST Definition of Cloud Computing</w:t>
        </w:r>
      </w:hyperlink>
      <w:r w:rsidRPr="0057324B">
        <w:rPr>
          <w:rFonts w:cs="Times New Roman"/>
          <w:color w:val="000000"/>
          <w:szCs w:val="24"/>
        </w:rPr>
        <w:t>, September 2011 (errata as of 161 April 27, 2012)</w:t>
      </w:r>
    </w:p>
    <w:p w14:paraId="048270BD" w14:textId="19487672" w:rsidR="008F431B" w:rsidRPr="0057324B" w:rsidRDefault="00CD44DC" w:rsidP="00624275">
      <w:pPr>
        <w:pStyle w:val="BodyBullet1"/>
        <w:rPr>
          <w:rFonts w:cs="Times New Roman"/>
          <w:color w:val="000000"/>
          <w:szCs w:val="24"/>
        </w:rPr>
      </w:pPr>
      <w:r w:rsidRPr="0057324B">
        <w:rPr>
          <w:rFonts w:cs="Times New Roman"/>
          <w:color w:val="000000"/>
          <w:szCs w:val="24"/>
        </w:rPr>
        <w:t xml:space="preserve">NIST, SP 800-292, </w:t>
      </w:r>
      <w:hyperlink r:id="rId57" w:history="1">
        <w:r w:rsidRPr="0057324B">
          <w:rPr>
            <w:rStyle w:val="Hyperlink"/>
            <w:rFonts w:cs="Times New Roman"/>
            <w:szCs w:val="24"/>
          </w:rPr>
          <w:t>NIST Cloud Computing Reference Architecture</w:t>
        </w:r>
      </w:hyperlink>
      <w:r w:rsidRPr="0057324B">
        <w:rPr>
          <w:rFonts w:cs="Times New Roman"/>
          <w:color w:val="000000"/>
          <w:szCs w:val="24"/>
        </w:rPr>
        <w:t>, September 2011</w:t>
      </w:r>
      <w:r w:rsidR="008F431B" w:rsidRPr="0057324B">
        <w:rPr>
          <w:rFonts w:cs="Times New Roman"/>
          <w:color w:val="000000"/>
          <w:szCs w:val="24"/>
        </w:rPr>
        <w:t xml:space="preserve"> </w:t>
      </w:r>
    </w:p>
    <w:p w14:paraId="1B2BC3ED" w14:textId="0BF4AC96" w:rsidR="008F431B" w:rsidRPr="0057324B" w:rsidRDefault="008F431B" w:rsidP="00624275">
      <w:pPr>
        <w:pStyle w:val="BodyBullet1"/>
        <w:rPr>
          <w:rFonts w:cs="Times New Roman"/>
          <w:color w:val="000000"/>
          <w:szCs w:val="24"/>
        </w:rPr>
      </w:pPr>
      <w:r w:rsidRPr="0057324B">
        <w:rPr>
          <w:rFonts w:cs="Times New Roman"/>
          <w:color w:val="000000"/>
          <w:szCs w:val="24"/>
        </w:rPr>
        <w:t xml:space="preserve">NIST, SP 800-37 Revision 1, </w:t>
      </w:r>
      <w:hyperlink r:id="rId58" w:history="1">
        <w:r w:rsidRPr="0057324B">
          <w:rPr>
            <w:rStyle w:val="Hyperlink"/>
            <w:rFonts w:cs="Times New Roman"/>
            <w:szCs w:val="24"/>
          </w:rPr>
          <w:t>Guide for Applying the Risk Management Framework to Federal Information Systems: A Security Life Cycle Approach</w:t>
        </w:r>
      </w:hyperlink>
      <w:r w:rsidRPr="0057324B">
        <w:rPr>
          <w:rFonts w:cs="Times New Roman"/>
          <w:color w:val="000000"/>
          <w:szCs w:val="24"/>
        </w:rPr>
        <w:t xml:space="preserve">, February 2010 (Updated 6/5/2014) </w:t>
      </w:r>
    </w:p>
    <w:p w14:paraId="79081696" w14:textId="448DC0AC" w:rsidR="008F431B" w:rsidRPr="0057324B" w:rsidRDefault="008F431B" w:rsidP="00624275">
      <w:pPr>
        <w:pStyle w:val="BodyBullet1"/>
        <w:rPr>
          <w:rFonts w:cs="Times New Roman"/>
          <w:color w:val="000000"/>
          <w:szCs w:val="24"/>
        </w:rPr>
      </w:pPr>
      <w:r w:rsidRPr="0057324B">
        <w:rPr>
          <w:rFonts w:cs="Times New Roman"/>
          <w:color w:val="000000"/>
          <w:szCs w:val="24"/>
        </w:rPr>
        <w:t xml:space="preserve">NIST, SP 800-53 Revision 4, </w:t>
      </w:r>
      <w:hyperlink r:id="rId59" w:history="1">
        <w:r w:rsidRPr="0057324B">
          <w:rPr>
            <w:rStyle w:val="Hyperlink"/>
            <w:rFonts w:cs="Times New Roman"/>
            <w:szCs w:val="24"/>
          </w:rPr>
          <w:t>Security and Privacy Controls for Federal Information Systems and Organizations</w:t>
        </w:r>
      </w:hyperlink>
      <w:r w:rsidRPr="0057324B">
        <w:rPr>
          <w:rFonts w:cs="Times New Roman"/>
          <w:color w:val="000000"/>
          <w:szCs w:val="24"/>
        </w:rPr>
        <w:t xml:space="preserve">, April 2013 (includes updates as of 01-22-2015) </w:t>
      </w:r>
    </w:p>
    <w:p w14:paraId="4657813C" w14:textId="0D255995" w:rsidR="008F431B" w:rsidRPr="0057324B" w:rsidRDefault="008F431B" w:rsidP="00624275">
      <w:pPr>
        <w:pStyle w:val="BodyBullet1"/>
        <w:rPr>
          <w:rFonts w:ascii="Cambria" w:eastAsia="Cambria" w:hAnsi="Cambria" w:cs="Cambria"/>
        </w:rPr>
      </w:pPr>
      <w:r w:rsidRPr="0057324B">
        <w:rPr>
          <w:rFonts w:cs="Times New Roman"/>
          <w:color w:val="000000"/>
          <w:szCs w:val="24"/>
        </w:rPr>
        <w:t xml:space="preserve">NIST, </w:t>
      </w:r>
      <w:r w:rsidRPr="0057324B">
        <w:rPr>
          <w:rFonts w:cs="Times New Roman"/>
          <w:szCs w:val="24"/>
        </w:rPr>
        <w:t>SP 800-53A</w:t>
      </w:r>
      <w:r w:rsidRPr="0057324B">
        <w:rPr>
          <w:rFonts w:cs="Times New Roman"/>
          <w:color w:val="0000FF"/>
          <w:szCs w:val="24"/>
        </w:rPr>
        <w:t xml:space="preserve"> </w:t>
      </w:r>
      <w:r w:rsidRPr="0057324B">
        <w:rPr>
          <w:rFonts w:cs="Times New Roman"/>
          <w:color w:val="000000"/>
          <w:szCs w:val="24"/>
        </w:rPr>
        <w:t xml:space="preserve">Revision 4, </w:t>
      </w:r>
      <w:hyperlink r:id="rId60" w:history="1">
        <w:r w:rsidRPr="0057324B">
          <w:rPr>
            <w:rStyle w:val="Hyperlink"/>
            <w:rFonts w:cs="Times New Roman"/>
            <w:iCs/>
            <w:szCs w:val="24"/>
          </w:rPr>
          <w:t>Guide for Assessing the Security Controls in Federal</w:t>
        </w:r>
        <w:r w:rsidRPr="0057324B">
          <w:rPr>
            <w:rStyle w:val="Hyperlink"/>
            <w:rFonts w:cs="Times New Roman"/>
            <w:szCs w:val="24"/>
          </w:rPr>
          <w:t xml:space="preserve"> </w:t>
        </w:r>
        <w:r w:rsidRPr="0057324B">
          <w:rPr>
            <w:rStyle w:val="Hyperlink"/>
            <w:rFonts w:cs="Times New Roman"/>
            <w:iCs/>
            <w:szCs w:val="24"/>
          </w:rPr>
          <w:t>Information Systems and Organizations: Building Effective Security Assessment Plans</w:t>
        </w:r>
      </w:hyperlink>
      <w:r w:rsidRPr="0057324B">
        <w:rPr>
          <w:rFonts w:cs="Times New Roman"/>
          <w:iCs/>
          <w:color w:val="000000"/>
          <w:szCs w:val="24"/>
        </w:rPr>
        <w:t>,</w:t>
      </w:r>
      <w:r w:rsidRPr="0057324B">
        <w:rPr>
          <w:rFonts w:cs="Times New Roman"/>
          <w:color w:val="000000"/>
          <w:szCs w:val="24"/>
        </w:rPr>
        <w:t xml:space="preserve"> </w:t>
      </w:r>
      <w:r w:rsidRPr="0057324B">
        <w:rPr>
          <w:rFonts w:cs="Times New Roman"/>
          <w:iCs/>
          <w:color w:val="000000"/>
          <w:szCs w:val="24"/>
        </w:rPr>
        <w:t>December 2014</w:t>
      </w:r>
    </w:p>
    <w:p w14:paraId="2605C7AB" w14:textId="6CEA6D76" w:rsidR="008F431B" w:rsidRPr="0057324B" w:rsidRDefault="008F431B" w:rsidP="00624275">
      <w:pPr>
        <w:pStyle w:val="BodyBullet1"/>
        <w:rPr>
          <w:rFonts w:cs="Times New Roman"/>
          <w:color w:val="000000"/>
          <w:szCs w:val="24"/>
        </w:rPr>
      </w:pPr>
      <w:r w:rsidRPr="0057324B">
        <w:rPr>
          <w:rFonts w:cs="Times New Roman"/>
          <w:color w:val="000000"/>
          <w:szCs w:val="24"/>
        </w:rPr>
        <w:t xml:space="preserve">NIST, </w:t>
      </w:r>
      <w:r w:rsidRPr="0057324B">
        <w:rPr>
          <w:rFonts w:cs="Times New Roman"/>
          <w:szCs w:val="24"/>
        </w:rPr>
        <w:t>SP 800-60</w:t>
      </w:r>
      <w:r w:rsidR="00CD44DC" w:rsidRPr="0057324B">
        <w:rPr>
          <w:rFonts w:cs="Times New Roman"/>
          <w:szCs w:val="24"/>
        </w:rPr>
        <w:t>,</w:t>
      </w:r>
      <w:r w:rsidRPr="0057324B">
        <w:rPr>
          <w:rFonts w:cs="Times New Roman"/>
          <w:szCs w:val="24"/>
        </w:rPr>
        <w:t xml:space="preserve"> </w:t>
      </w:r>
      <w:hyperlink r:id="rId61" w:history="1">
        <w:r w:rsidRPr="0057324B">
          <w:rPr>
            <w:rStyle w:val="Hyperlink"/>
            <w:rFonts w:cs="Times New Roman"/>
            <w:iCs/>
            <w:szCs w:val="24"/>
          </w:rPr>
          <w:t>Volume I: Guide for Mapping Types of Information and Information Systems to Security Categories</w:t>
        </w:r>
      </w:hyperlink>
      <w:r w:rsidRPr="0057324B">
        <w:rPr>
          <w:rFonts w:cs="Times New Roman"/>
          <w:color w:val="000000"/>
          <w:szCs w:val="24"/>
        </w:rPr>
        <w:t xml:space="preserve">, August 2008 </w:t>
      </w:r>
    </w:p>
    <w:p w14:paraId="46C9C20A" w14:textId="78763AE1" w:rsidR="008F431B" w:rsidRPr="0057324B" w:rsidRDefault="008F431B" w:rsidP="00624275">
      <w:pPr>
        <w:pStyle w:val="BodyBullet1"/>
        <w:rPr>
          <w:rFonts w:cs="Times New Roman"/>
          <w:color w:val="000000"/>
          <w:szCs w:val="20"/>
        </w:rPr>
      </w:pPr>
      <w:r w:rsidRPr="0057324B">
        <w:rPr>
          <w:rFonts w:cs="Times New Roman"/>
          <w:color w:val="000000"/>
          <w:szCs w:val="20"/>
        </w:rPr>
        <w:t xml:space="preserve">OMB, </w:t>
      </w:r>
      <w:hyperlink r:id="rId62" w:history="1">
        <w:r w:rsidRPr="0057324B">
          <w:rPr>
            <w:rStyle w:val="Hyperlink"/>
            <w:rFonts w:cs="Times New Roman"/>
            <w:iCs/>
            <w:szCs w:val="20"/>
          </w:rPr>
          <w:t>25 Point Implementation Plan to Reform Federal Information Technology Management</w:t>
        </w:r>
      </w:hyperlink>
      <w:r w:rsidRPr="0057324B">
        <w:rPr>
          <w:rFonts w:cs="Times New Roman"/>
          <w:color w:val="000000"/>
          <w:szCs w:val="20"/>
        </w:rPr>
        <w:t>, December 9, 2010</w:t>
      </w:r>
    </w:p>
    <w:p w14:paraId="4525C815" w14:textId="6ABDC30B" w:rsidR="008F431B" w:rsidRPr="0057324B" w:rsidRDefault="008F431B" w:rsidP="00624275">
      <w:pPr>
        <w:pStyle w:val="BodyBullet1"/>
        <w:rPr>
          <w:rFonts w:cs="Times New Roman"/>
          <w:color w:val="000000"/>
          <w:szCs w:val="20"/>
        </w:rPr>
      </w:pPr>
      <w:r w:rsidRPr="0057324B">
        <w:rPr>
          <w:rFonts w:cs="Times New Roman"/>
          <w:color w:val="000000"/>
          <w:szCs w:val="20"/>
        </w:rPr>
        <w:t xml:space="preserve">OMB, </w:t>
      </w:r>
      <w:hyperlink r:id="rId63" w:history="1">
        <w:r w:rsidRPr="0057324B">
          <w:rPr>
            <w:rStyle w:val="Hyperlink"/>
            <w:rFonts w:cs="Times New Roman"/>
            <w:iCs/>
            <w:szCs w:val="20"/>
          </w:rPr>
          <w:t>Federal Cloud Computing Strategy</w:t>
        </w:r>
      </w:hyperlink>
      <w:r w:rsidRPr="0057324B">
        <w:rPr>
          <w:rFonts w:cs="Times New Roman"/>
          <w:color w:val="000000"/>
          <w:szCs w:val="20"/>
        </w:rPr>
        <w:t>, February 8, 2011</w:t>
      </w:r>
    </w:p>
    <w:p w14:paraId="5579AE49" w14:textId="0CF08033" w:rsidR="008F431B" w:rsidRPr="0057324B" w:rsidRDefault="008F431B" w:rsidP="00624275">
      <w:pPr>
        <w:pStyle w:val="BodyBullet1"/>
        <w:rPr>
          <w:rFonts w:cs="Times New Roman"/>
          <w:color w:val="000000"/>
          <w:szCs w:val="20"/>
        </w:rPr>
      </w:pPr>
      <w:r w:rsidRPr="0057324B">
        <w:rPr>
          <w:rFonts w:cs="Times New Roman"/>
          <w:color w:val="000000"/>
          <w:szCs w:val="20"/>
        </w:rPr>
        <w:t xml:space="preserve">OMB, </w:t>
      </w:r>
      <w:hyperlink r:id="rId64" w:history="1">
        <w:r w:rsidRPr="0057324B">
          <w:rPr>
            <w:rStyle w:val="Hyperlink"/>
            <w:rFonts w:cs="Times New Roman"/>
            <w:iCs/>
            <w:szCs w:val="20"/>
          </w:rPr>
          <w:t>Federal Information Technology Shared Services Strategy</w:t>
        </w:r>
      </w:hyperlink>
      <w:r w:rsidRPr="0057324B">
        <w:rPr>
          <w:rFonts w:cs="Times New Roman"/>
          <w:color w:val="000000"/>
          <w:szCs w:val="20"/>
        </w:rPr>
        <w:t>, May 2, 2012</w:t>
      </w:r>
    </w:p>
    <w:p w14:paraId="38200C7F" w14:textId="0172DA08" w:rsidR="008F431B" w:rsidRPr="0057324B" w:rsidRDefault="008F431B" w:rsidP="00624275">
      <w:pPr>
        <w:pStyle w:val="BodyBullet1"/>
        <w:rPr>
          <w:rFonts w:cs="Times New Roman"/>
          <w:color w:val="000000"/>
          <w:szCs w:val="20"/>
        </w:rPr>
      </w:pPr>
      <w:r w:rsidRPr="0057324B">
        <w:rPr>
          <w:rFonts w:cs="Times New Roman"/>
          <w:color w:val="000000"/>
          <w:szCs w:val="20"/>
        </w:rPr>
        <w:t xml:space="preserve">OMB, </w:t>
      </w:r>
      <w:hyperlink r:id="rId65" w:history="1">
        <w:r w:rsidRPr="0057324B">
          <w:rPr>
            <w:rStyle w:val="Hyperlink"/>
            <w:rFonts w:cs="Times New Roman"/>
            <w:szCs w:val="20"/>
          </w:rPr>
          <w:t>Guidance on Exhibit 53—Information Technology and E-Government</w:t>
        </w:r>
      </w:hyperlink>
      <w:r w:rsidRPr="0057324B">
        <w:rPr>
          <w:rFonts w:cs="Times New Roman"/>
          <w:color w:val="000000"/>
          <w:szCs w:val="20"/>
        </w:rPr>
        <w:t>, July 1, 2013</w:t>
      </w:r>
    </w:p>
    <w:p w14:paraId="408C4625" w14:textId="2E230C8B" w:rsidR="008F431B" w:rsidRPr="0057324B" w:rsidRDefault="008F431B" w:rsidP="00624275">
      <w:pPr>
        <w:pStyle w:val="BodyBullet1"/>
        <w:rPr>
          <w:rFonts w:ascii="Cambria" w:eastAsia="Cambria" w:hAnsi="Cambria" w:cs="Cambria"/>
        </w:rPr>
      </w:pPr>
      <w:r w:rsidRPr="0057324B">
        <w:rPr>
          <w:rFonts w:cs="Times New Roman"/>
          <w:color w:val="000000"/>
          <w:szCs w:val="20"/>
        </w:rPr>
        <w:t>OMB</w:t>
      </w:r>
      <w:r w:rsidRPr="0057324B">
        <w:rPr>
          <w:rFonts w:cs="Times New Roman"/>
          <w:iCs/>
          <w:color w:val="000000"/>
          <w:szCs w:val="20"/>
        </w:rPr>
        <w:t xml:space="preserve">, </w:t>
      </w:r>
      <w:r w:rsidRPr="0057324B">
        <w:rPr>
          <w:rFonts w:cs="Times New Roman"/>
          <w:color w:val="0000FF"/>
          <w:szCs w:val="20"/>
        </w:rPr>
        <w:t>Memorandum for Chief Information Officers</w:t>
      </w:r>
      <w:r w:rsidRPr="0057324B">
        <w:rPr>
          <w:rFonts w:cs="Times New Roman"/>
          <w:iCs/>
          <w:color w:val="000000"/>
          <w:szCs w:val="20"/>
        </w:rPr>
        <w:t xml:space="preserve">, </w:t>
      </w:r>
      <w:hyperlink r:id="rId66" w:history="1">
        <w:r w:rsidRPr="0057324B">
          <w:rPr>
            <w:rStyle w:val="Hyperlink"/>
            <w:rFonts w:cs="Times New Roman"/>
            <w:iCs/>
            <w:szCs w:val="20"/>
          </w:rPr>
          <w:t>Security Authorization of Information Systems in Cloud Computing Environments</w:t>
        </w:r>
      </w:hyperlink>
      <w:r w:rsidRPr="0057324B">
        <w:rPr>
          <w:rFonts w:cs="Times New Roman"/>
          <w:color w:val="000000"/>
          <w:szCs w:val="20"/>
        </w:rPr>
        <w:t xml:space="preserve">, December 8, 2011 </w:t>
      </w:r>
    </w:p>
    <w:p w14:paraId="7BDC6550" w14:textId="11A50DB6" w:rsidR="0036799B" w:rsidRPr="00D070F3" w:rsidRDefault="008F431B" w:rsidP="00624275">
      <w:pPr>
        <w:pStyle w:val="BodyBullet1"/>
        <w:rPr>
          <w:rFonts w:cs="Times New Roman"/>
          <w:color w:val="000000"/>
          <w:szCs w:val="20"/>
        </w:rPr>
      </w:pPr>
      <w:r w:rsidRPr="0057324B">
        <w:rPr>
          <w:rFonts w:cs="Times New Roman"/>
          <w:color w:val="000000"/>
          <w:szCs w:val="20"/>
        </w:rPr>
        <w:t xml:space="preserve">OMB, </w:t>
      </w:r>
      <w:r w:rsidRPr="0057324B">
        <w:rPr>
          <w:rFonts w:cs="Times New Roman"/>
          <w:color w:val="0000FF"/>
          <w:szCs w:val="20"/>
        </w:rPr>
        <w:t>Memorandum for Federal Chief Information Officers</w:t>
      </w:r>
      <w:r w:rsidRPr="0057324B">
        <w:rPr>
          <w:rFonts w:cs="Times New Roman"/>
          <w:color w:val="000000"/>
          <w:szCs w:val="20"/>
        </w:rPr>
        <w:t xml:space="preserve">, </w:t>
      </w:r>
      <w:hyperlink r:id="rId67" w:history="1">
        <w:r w:rsidRPr="0057324B">
          <w:rPr>
            <w:rStyle w:val="Hyperlink"/>
            <w:rFonts w:cs="Times New Roman"/>
            <w:iCs/>
            <w:szCs w:val="20"/>
          </w:rPr>
          <w:t>Increasing Shared Approaches to Information Technology Services</w:t>
        </w:r>
      </w:hyperlink>
      <w:r w:rsidRPr="0057324B">
        <w:rPr>
          <w:rFonts w:cs="Times New Roman"/>
          <w:color w:val="000000"/>
          <w:szCs w:val="20"/>
        </w:rPr>
        <w:t xml:space="preserve">, May 2, 2012 </w:t>
      </w:r>
      <w:r w:rsidR="0036799B" w:rsidRPr="00D070F3">
        <w:rPr>
          <w:rFonts w:eastAsia="Cambria"/>
        </w:rPr>
        <w:br w:type="page"/>
      </w:r>
    </w:p>
    <w:p w14:paraId="559EA04E" w14:textId="19396C90" w:rsidR="00742FA8" w:rsidRDefault="00CE786C" w:rsidP="00A76CF5">
      <w:pPr>
        <w:pStyle w:val="Heading1"/>
        <w:rPr>
          <w:rFonts w:eastAsia="Cambria"/>
        </w:rPr>
      </w:pPr>
      <w:bookmarkStart w:id="34" w:name="_Toc487802629"/>
      <w:r>
        <w:rPr>
          <w:rFonts w:eastAsia="Cambria"/>
        </w:rPr>
        <w:t>Glossary of Terms</w:t>
      </w:r>
      <w:r w:rsidR="00823966">
        <w:rPr>
          <w:rStyle w:val="FootnoteReference"/>
          <w:rFonts w:eastAsia="Cambria"/>
        </w:rPr>
        <w:footnoteReference w:id="13"/>
      </w:r>
      <w:bookmarkEnd w:id="34"/>
    </w:p>
    <w:p w14:paraId="303FE3A8" w14:textId="03C1EB03" w:rsidR="00260CDE" w:rsidRDefault="00260CDE" w:rsidP="00571305">
      <w:r w:rsidRPr="007B31FA">
        <w:rPr>
          <w:b/>
        </w:rPr>
        <w:t>Application Refactoring.</w:t>
      </w:r>
      <w:r>
        <w:t xml:space="preserve"> </w:t>
      </w:r>
      <w:r w:rsidR="00431240">
        <w:t>The product of m</w:t>
      </w:r>
      <w:r>
        <w:t xml:space="preserve">odifying an existing code base </w:t>
      </w:r>
      <w:r w:rsidR="00431240">
        <w:t xml:space="preserve">to </w:t>
      </w:r>
      <w:r>
        <w:t>significantly improve the performance and technical architecture of the code</w:t>
      </w:r>
      <w:r w:rsidR="00431240">
        <w:t>; and is not primarily motivated to change the code functionality.</w:t>
      </w:r>
      <w:r>
        <w:t xml:space="preserve"> Typically, this is an aggregate set of refinements, enhancements</w:t>
      </w:r>
      <w:r w:rsidR="00523995">
        <w:t>,</w:t>
      </w:r>
      <w:r>
        <w:t xml:space="preserve"> and modifications that are potentially not justified by resource input to perform alone, but are expected to have a major improvement when performed holistically. Changes, modifications</w:t>
      </w:r>
      <w:r w:rsidR="00165A46">
        <w:t>,</w:t>
      </w:r>
      <w:r>
        <w:t xml:space="preserve"> and enhancements can include elements such as database changes and code reorganization.</w:t>
      </w:r>
    </w:p>
    <w:p w14:paraId="1E0D794D" w14:textId="52BA48F2" w:rsidR="00260CDE" w:rsidRDefault="00260CDE">
      <w:r w:rsidRPr="00B4576D">
        <w:rPr>
          <w:b/>
        </w:rPr>
        <w:t>Cloud Enabled.</w:t>
      </w:r>
      <w:r>
        <w:t xml:space="preserve"> A software application or workload that is both ready to be hosted in an IaaS (or PaaS) cloud environment and has some capability to leverage the cloud characteristic of rapid elasticity</w:t>
      </w:r>
      <w:r w:rsidR="00D85030">
        <w:t xml:space="preserve">. </w:t>
      </w:r>
      <w:r>
        <w:t>The expectation is of only a minimal amount of configuration effort would be required to deploy (or re-deploy) the application in the cloud.</w:t>
      </w:r>
    </w:p>
    <w:p w14:paraId="05F34D94" w14:textId="77777777" w:rsidR="00260CDE" w:rsidRDefault="00260CDE" w:rsidP="0023125E">
      <w:r w:rsidRPr="007B31FA">
        <w:rPr>
          <w:b/>
        </w:rPr>
        <w:t>Cloud Service Provider.</w:t>
      </w:r>
      <w:r>
        <w:t xml:space="preserve"> A service provider that owns, maintains and enhances their services, and houses those service elements in a location that they own. Service is usually delivered via the internet or other network connection. Customers usually pay on a routine cycle and at a rate usually based on their usage that period or at a recurring standard rate.</w:t>
      </w:r>
    </w:p>
    <w:p w14:paraId="61F3C8A2" w14:textId="77777777" w:rsidR="00260CDE" w:rsidRDefault="00260CDE" w:rsidP="0023125E">
      <w:r w:rsidRPr="007B31FA">
        <w:rPr>
          <w:b/>
        </w:rPr>
        <w:t>Drawdown Accounts.</w:t>
      </w:r>
      <w:r>
        <w:t xml:space="preserve"> An organizational method for paying for a cloud service. The consuming organization pays the provider a set amount of money. The provider decrements the money put into the account relative to what the consuming agency is using.</w:t>
      </w:r>
    </w:p>
    <w:p w14:paraId="6064CC96" w14:textId="02494DA1" w:rsidR="00260CDE" w:rsidRDefault="00260CDE">
      <w:r w:rsidRPr="007B31FA">
        <w:rPr>
          <w:b/>
        </w:rPr>
        <w:t>IaaS.</w:t>
      </w:r>
      <w:r>
        <w:t xml:space="preserve"> A service model describing an offering from a provider that allows a customer to purchase compute, storage and network services on demand. IaaS is priced by a consumption unit. The customer pays </w:t>
      </w:r>
      <w:r w:rsidR="00CD63C3">
        <w:t>for</w:t>
      </w:r>
      <w:r>
        <w:t xml:space="preserve"> </w:t>
      </w:r>
      <w:r w:rsidR="003718D0">
        <w:t xml:space="preserve">the </w:t>
      </w:r>
      <w:r>
        <w:t xml:space="preserve">service used during the period </w:t>
      </w:r>
      <w:r w:rsidR="003718D0">
        <w:t>based on a per</w:t>
      </w:r>
      <w:r>
        <w:t xml:space="preserve"> consumption unit</w:t>
      </w:r>
      <w:r w:rsidR="003718D0">
        <w:t xml:space="preserve"> price</w:t>
      </w:r>
      <w:r>
        <w:t>.</w:t>
      </w:r>
    </w:p>
    <w:p w14:paraId="16097940" w14:textId="313B78E3" w:rsidR="00260CDE" w:rsidRDefault="00260CDE">
      <w:r w:rsidRPr="007B31FA">
        <w:rPr>
          <w:b/>
        </w:rPr>
        <w:t>PaaS.</w:t>
      </w:r>
      <w:r>
        <w:t xml:space="preserve"> A service model describing an offering from a provider that allows a customer to make on demand purchases. The types of services </w:t>
      </w:r>
      <w:r w:rsidR="00431240">
        <w:t>included in this model</w:t>
      </w:r>
      <w:r>
        <w:t xml:space="preserve"> are broad and loosely defined as those infrastructure and end user applications. PaaS is priced by a consumption unit. </w:t>
      </w:r>
      <w:r w:rsidR="003718D0">
        <w:t>The customer pays for the service used during the period based on a per consumption unit price</w:t>
      </w:r>
      <w:r>
        <w:t>.</w:t>
      </w:r>
    </w:p>
    <w:p w14:paraId="047D4F2A" w14:textId="77777777" w:rsidR="00260CDE" w:rsidRDefault="00260CDE" w:rsidP="00571305">
      <w:r w:rsidRPr="007B31FA">
        <w:rPr>
          <w:b/>
        </w:rPr>
        <w:t>SaaS.</w:t>
      </w:r>
      <w:r>
        <w:t xml:space="preserve"> A service model describing an offering from a provider that allows a customer to purchase the use of the software on demand. The software has a single code base and is available to many different organizations and individuals that may or may not be affiliated. SaaS is priced by a consumption unit. The customer pays for the amount of service used during the period as a function of the price consumption unit or by a standard subscription fee.</w:t>
      </w:r>
    </w:p>
    <w:p w14:paraId="18EF7BB4" w14:textId="7DB7F8C9" w:rsidR="00B827CC" w:rsidRDefault="00260CDE" w:rsidP="00B4576D">
      <w:r w:rsidRPr="007B31FA">
        <w:rPr>
          <w:b/>
        </w:rPr>
        <w:t>Subscription Based.</w:t>
      </w:r>
      <w:r>
        <w:t xml:space="preserve"> A payment arrangement between a provider and customers. Consumers and consuming agencies pay a fee to access the service the user provides. This payment type is not based on how much the consumer uses, but whether or not the user has on-demand access to use the service.</w:t>
      </w:r>
      <w:r w:rsidR="00B827CC">
        <w:br w:type="page"/>
      </w:r>
    </w:p>
    <w:p w14:paraId="5189039F" w14:textId="77777777" w:rsidR="00126BC6" w:rsidRDefault="00126BC6">
      <w:pPr>
        <w:sectPr w:rsidR="00126BC6" w:rsidSect="00F97CD7">
          <w:headerReference w:type="default" r:id="rId68"/>
          <w:pgSz w:w="12240" w:h="15840"/>
          <w:pgMar w:top="1440" w:right="1440" w:bottom="1440" w:left="1440" w:header="0" w:footer="288" w:gutter="0"/>
          <w:cols w:space="720"/>
          <w:docGrid w:linePitch="326"/>
        </w:sectPr>
      </w:pPr>
    </w:p>
    <w:p w14:paraId="4F6EA452" w14:textId="320EE431" w:rsidR="004E69D2" w:rsidRDefault="005B53E5" w:rsidP="00A76CF5">
      <w:pPr>
        <w:pStyle w:val="Heading1"/>
      </w:pPr>
      <w:bookmarkStart w:id="35" w:name="_Ref487725974"/>
      <w:bookmarkStart w:id="36" w:name="_Toc487802630"/>
      <w:r>
        <w:t>Appendix:</w:t>
      </w:r>
      <w:r w:rsidR="0032135B">
        <w:t xml:space="preserve"> </w:t>
      </w:r>
      <w:r>
        <w:t>Representative Example Contract Clauses</w:t>
      </w:r>
      <w:bookmarkEnd w:id="35"/>
      <w:bookmarkEnd w:id="36"/>
    </w:p>
    <w:p w14:paraId="5C159D83" w14:textId="6DE82F07" w:rsidR="002F4211" w:rsidRDefault="002F4211" w:rsidP="00C27954">
      <w:r>
        <w:t>This table provides specific contract clauses that constitute a representative (but not comprehensive) sample applicable to cloud hosted IT systems</w:t>
      </w:r>
      <w:r w:rsidR="00BF5438">
        <w:t xml:space="preserve"> contracted under the Department of Defense</w:t>
      </w:r>
      <w:r w:rsidR="00624275">
        <w:t xml:space="preserve"> (DoD)</w:t>
      </w:r>
      <w:r w:rsidR="00D85030">
        <w:t xml:space="preserve">. </w:t>
      </w:r>
      <w:r>
        <w:t xml:space="preserve">The description column provides a categorization of the clause and the columns on the right </w:t>
      </w:r>
      <w:r w:rsidR="00BF5438">
        <w:t xml:space="preserve">provide guidance on </w:t>
      </w:r>
      <w:r>
        <w:t>the source and/or section applicability</w:t>
      </w:r>
      <w:r w:rsidR="00D85030">
        <w:t xml:space="preserve">. </w:t>
      </w:r>
      <w:r w:rsidR="00BF5438">
        <w:t>Specific column abbreviations are defined here:</w:t>
      </w:r>
    </w:p>
    <w:p w14:paraId="3389407C" w14:textId="070C77B6" w:rsidR="00BF5438" w:rsidRPr="00C27954" w:rsidRDefault="00BF5438" w:rsidP="00C27954">
      <w:pPr>
        <w:pStyle w:val="ListParagraph"/>
        <w:numPr>
          <w:ilvl w:val="0"/>
          <w:numId w:val="20"/>
        </w:numPr>
        <w:rPr>
          <w:color w:val="auto"/>
        </w:rPr>
      </w:pPr>
      <w:r w:rsidRPr="00C27954">
        <w:rPr>
          <w:b/>
          <w:color w:val="auto"/>
        </w:rPr>
        <w:t>DFAR</w:t>
      </w:r>
      <w:r w:rsidRPr="00C27954">
        <w:rPr>
          <w:color w:val="auto"/>
        </w:rPr>
        <w:t>. Clause originates in the Defense Federal Acquisition Regulation Supplement (DFARS).</w:t>
      </w:r>
    </w:p>
    <w:p w14:paraId="73159E26" w14:textId="21D86E4E" w:rsidR="00BF5438" w:rsidRPr="00C27954" w:rsidRDefault="00BF5438" w:rsidP="00C27954">
      <w:pPr>
        <w:pStyle w:val="ListParagraph"/>
        <w:numPr>
          <w:ilvl w:val="0"/>
          <w:numId w:val="20"/>
        </w:numPr>
        <w:rPr>
          <w:color w:val="auto"/>
        </w:rPr>
      </w:pPr>
      <w:r w:rsidRPr="00C27954">
        <w:rPr>
          <w:b/>
          <w:color w:val="auto"/>
        </w:rPr>
        <w:t>IR</w:t>
      </w:r>
      <w:r w:rsidRPr="00C27954">
        <w:rPr>
          <w:color w:val="auto"/>
        </w:rPr>
        <w:t>. Part of an Interim Rule that should be removed when updated in the DFARS.</w:t>
      </w:r>
    </w:p>
    <w:p w14:paraId="04593EA3" w14:textId="4FFB8940" w:rsidR="00BF5438" w:rsidRPr="00C27954" w:rsidRDefault="00BF5438" w:rsidP="00C27954">
      <w:pPr>
        <w:pStyle w:val="ListParagraph"/>
        <w:numPr>
          <w:ilvl w:val="0"/>
          <w:numId w:val="20"/>
        </w:numPr>
        <w:rPr>
          <w:color w:val="auto"/>
        </w:rPr>
      </w:pPr>
      <w:r w:rsidRPr="00C27954">
        <w:rPr>
          <w:b/>
          <w:color w:val="auto"/>
        </w:rPr>
        <w:t>PWS</w:t>
      </w:r>
      <w:r w:rsidR="0003616D">
        <w:rPr>
          <w:color w:val="auto"/>
        </w:rPr>
        <w:t>. Are applicable to performance work s</w:t>
      </w:r>
      <w:r w:rsidRPr="00C27954">
        <w:rPr>
          <w:color w:val="auto"/>
        </w:rPr>
        <w:t>tatements.</w:t>
      </w:r>
    </w:p>
    <w:p w14:paraId="6EC4AB8F" w14:textId="2885021C" w:rsidR="00BF5438" w:rsidRPr="00C27954" w:rsidRDefault="00BF5438" w:rsidP="00C27954">
      <w:pPr>
        <w:pStyle w:val="ListParagraph"/>
        <w:numPr>
          <w:ilvl w:val="0"/>
          <w:numId w:val="20"/>
        </w:numPr>
        <w:rPr>
          <w:color w:val="auto"/>
        </w:rPr>
      </w:pPr>
      <w:r w:rsidRPr="00C27954">
        <w:rPr>
          <w:b/>
          <w:color w:val="auto"/>
        </w:rPr>
        <w:t>SRG</w:t>
      </w:r>
      <w:r w:rsidRPr="00C27954">
        <w:rPr>
          <w:color w:val="auto"/>
        </w:rPr>
        <w:t>. Clause originates within the DoD Cloud Computing Security Requirements Guide.</w:t>
      </w:r>
    </w:p>
    <w:p w14:paraId="503BFDD0" w14:textId="5BE9DC55" w:rsidR="00BF5438" w:rsidRPr="00C27954" w:rsidRDefault="00BF5438" w:rsidP="00C27954">
      <w:pPr>
        <w:pStyle w:val="ListParagraph"/>
        <w:numPr>
          <w:ilvl w:val="0"/>
          <w:numId w:val="20"/>
        </w:numPr>
        <w:rPr>
          <w:color w:val="auto"/>
        </w:rPr>
      </w:pPr>
      <w:r w:rsidRPr="00C27954">
        <w:rPr>
          <w:b/>
          <w:color w:val="auto"/>
        </w:rPr>
        <w:t>SLA</w:t>
      </w:r>
      <w:r w:rsidR="0003616D">
        <w:rPr>
          <w:color w:val="auto"/>
        </w:rPr>
        <w:t>. Applicable to service level a</w:t>
      </w:r>
      <w:r w:rsidRPr="00C27954">
        <w:rPr>
          <w:color w:val="auto"/>
        </w:rPr>
        <w:t>greements.</w:t>
      </w:r>
    </w:p>
    <w:p w14:paraId="76658FFD" w14:textId="2863A3E9" w:rsidR="00BF5438" w:rsidRPr="00C27954" w:rsidRDefault="00BF5438" w:rsidP="00C27954">
      <w:pPr>
        <w:pStyle w:val="ListParagraph"/>
        <w:numPr>
          <w:ilvl w:val="0"/>
          <w:numId w:val="20"/>
        </w:numPr>
        <w:rPr>
          <w:color w:val="auto"/>
        </w:rPr>
      </w:pPr>
      <w:r w:rsidRPr="00C27954">
        <w:rPr>
          <w:b/>
          <w:color w:val="auto"/>
        </w:rPr>
        <w:t>CDRL</w:t>
      </w:r>
      <w:r w:rsidRPr="00C27954">
        <w:rPr>
          <w:color w:val="auto"/>
        </w:rPr>
        <w:t>. Applicable to the Contract Data Requirements List.</w:t>
      </w:r>
    </w:p>
    <w:p w14:paraId="53A7D4DA" w14:textId="583C4D2B" w:rsidR="00C27954" w:rsidRPr="00C27954" w:rsidRDefault="00C27954" w:rsidP="00C27954">
      <w:pPr>
        <w:pStyle w:val="ListParagraph"/>
        <w:numPr>
          <w:ilvl w:val="0"/>
          <w:numId w:val="20"/>
        </w:numPr>
        <w:rPr>
          <w:color w:val="auto"/>
        </w:rPr>
      </w:pPr>
      <w:r w:rsidRPr="00C27954">
        <w:rPr>
          <w:b/>
          <w:color w:val="auto"/>
        </w:rPr>
        <w:t>Add’l Info Req’d</w:t>
      </w:r>
      <w:r w:rsidRPr="00C27954">
        <w:rPr>
          <w:color w:val="auto"/>
        </w:rPr>
        <w:t>. Indicates the clause requires additional information.</w:t>
      </w:r>
    </w:p>
    <w:p w14:paraId="46779DC1" w14:textId="63F097C2" w:rsidR="00C27954" w:rsidRDefault="00C27954" w:rsidP="00C27954">
      <w:r>
        <w:t>Additionally, within the clauses, the following terms are further defined:</w:t>
      </w:r>
    </w:p>
    <w:p w14:paraId="40834E64" w14:textId="1EB1A7C0" w:rsidR="00C27954" w:rsidRPr="00BF1635" w:rsidRDefault="00C27954" w:rsidP="00C27954">
      <w:pPr>
        <w:pStyle w:val="ListParagraph"/>
        <w:numPr>
          <w:ilvl w:val="0"/>
          <w:numId w:val="21"/>
        </w:numPr>
        <w:rPr>
          <w:color w:val="auto"/>
        </w:rPr>
      </w:pPr>
      <w:r w:rsidRPr="00BF1635">
        <w:rPr>
          <w:color w:val="auto"/>
        </w:rPr>
        <w:t>"Configuration control" means having the authority to approve or disapprove any and all changes to the hardware and software used in the data repository systems.</w:t>
      </w:r>
    </w:p>
    <w:p w14:paraId="207D414D" w14:textId="6D21BC34" w:rsidR="00BF1635" w:rsidRDefault="00C27954" w:rsidP="00C27954">
      <w:pPr>
        <w:pStyle w:val="ListParagraph"/>
        <w:numPr>
          <w:ilvl w:val="0"/>
          <w:numId w:val="21"/>
        </w:numPr>
        <w:rPr>
          <w:color w:val="auto"/>
        </w:rPr>
      </w:pPr>
      <w:r w:rsidRPr="00BF1635">
        <w:rPr>
          <w:color w:val="auto"/>
        </w:rPr>
        <w:t>"Operational control" means having the authority over the components of the data repository systems to include the hardware, software, processes</w:t>
      </w:r>
      <w:r w:rsidR="00523995">
        <w:rPr>
          <w:color w:val="auto"/>
        </w:rPr>
        <w:t>,</w:t>
      </w:r>
      <w:r w:rsidRPr="00BF1635">
        <w:rPr>
          <w:color w:val="auto"/>
        </w:rPr>
        <w:t xml:space="preserve"> and personnel used to process or store government data.</w:t>
      </w:r>
    </w:p>
    <w:p w14:paraId="7881C3B4" w14:textId="77777777" w:rsidR="00BF1635" w:rsidRDefault="00BF1635">
      <w:pPr>
        <w:spacing w:after="120" w:line="360" w:lineRule="auto"/>
      </w:pPr>
      <w:r>
        <w:br w:type="page"/>
      </w:r>
    </w:p>
    <w:tbl>
      <w:tblPr>
        <w:tblStyle w:val="GridTable4-Accent11"/>
        <w:tblW w:w="12960" w:type="dxa"/>
        <w:jc w:val="center"/>
        <w:tblLayout w:type="fixed"/>
        <w:tblLook w:val="04A0" w:firstRow="1" w:lastRow="0" w:firstColumn="1" w:lastColumn="0" w:noHBand="0" w:noVBand="1"/>
      </w:tblPr>
      <w:tblGrid>
        <w:gridCol w:w="1710"/>
        <w:gridCol w:w="6117"/>
        <w:gridCol w:w="18"/>
        <w:gridCol w:w="795"/>
        <w:gridCol w:w="450"/>
        <w:gridCol w:w="720"/>
        <w:gridCol w:w="720"/>
        <w:gridCol w:w="720"/>
        <w:gridCol w:w="900"/>
        <w:gridCol w:w="793"/>
        <w:gridCol w:w="17"/>
      </w:tblGrid>
      <w:tr w:rsidR="00C37C27" w:rsidRPr="00FB3B0E" w14:paraId="1B30C1B8" w14:textId="77777777" w:rsidTr="00165A46">
        <w:trPr>
          <w:gridAfter w:val="1"/>
          <w:cnfStyle w:val="100000000000" w:firstRow="1" w:lastRow="0" w:firstColumn="0" w:lastColumn="0" w:oddVBand="0" w:evenVBand="0" w:oddHBand="0" w:evenHBand="0" w:firstRowFirstColumn="0" w:firstRowLastColumn="0" w:lastRowFirstColumn="0" w:lastRowLastColumn="0"/>
          <w:wAfter w:w="17" w:type="dxa"/>
          <w:trHeight w:val="900"/>
          <w:tblHeader/>
          <w:jc w:val="center"/>
        </w:trPr>
        <w:tc>
          <w:tcPr>
            <w:cnfStyle w:val="001000000000" w:firstRow="0" w:lastRow="0" w:firstColumn="1" w:lastColumn="0" w:oddVBand="0" w:evenVBand="0" w:oddHBand="0" w:evenHBand="0" w:firstRowFirstColumn="0" w:firstRowLastColumn="0" w:lastRowFirstColumn="0" w:lastRowLastColumn="0"/>
            <w:tcW w:w="1710" w:type="dxa"/>
            <w:tcBorders>
              <w:right w:val="single" w:sz="4" w:space="0" w:color="FFFFFF" w:themeColor="background1"/>
            </w:tcBorders>
            <w:noWrap/>
            <w:vAlign w:val="bottom"/>
            <w:hideMark/>
          </w:tcPr>
          <w:p w14:paraId="0BEF8FF9" w14:textId="77777777" w:rsidR="001E39AF" w:rsidRPr="00165A46" w:rsidRDefault="001E39AF" w:rsidP="00987AF9">
            <w:pPr>
              <w:spacing w:after="0" w:line="240" w:lineRule="auto"/>
              <w:rPr>
                <w:rFonts w:eastAsia="Times New Roman" w:cs="Times New Roman"/>
              </w:rPr>
            </w:pPr>
            <w:r w:rsidRPr="00165A46">
              <w:rPr>
                <w:rFonts w:eastAsia="Times New Roman" w:cs="Times New Roman"/>
              </w:rPr>
              <w:t>Description</w:t>
            </w:r>
          </w:p>
        </w:tc>
        <w:tc>
          <w:tcPr>
            <w:tcW w:w="6117" w:type="dxa"/>
            <w:tcBorders>
              <w:left w:val="single" w:sz="4" w:space="0" w:color="FFFFFF" w:themeColor="background1"/>
              <w:right w:val="single" w:sz="4" w:space="0" w:color="FFFFFF" w:themeColor="background1"/>
            </w:tcBorders>
            <w:noWrap/>
            <w:vAlign w:val="bottom"/>
            <w:hideMark/>
          </w:tcPr>
          <w:p w14:paraId="0072FDFB" w14:textId="77777777" w:rsidR="001E39AF" w:rsidRPr="00165A46" w:rsidRDefault="001E39AF" w:rsidP="00987AF9">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rPr>
            </w:pPr>
            <w:r w:rsidRPr="00165A46">
              <w:rPr>
                <w:rFonts w:eastAsia="Times New Roman" w:cs="Times New Roman"/>
              </w:rPr>
              <w:t>Contract Language</w:t>
            </w:r>
          </w:p>
        </w:tc>
        <w:tc>
          <w:tcPr>
            <w:tcW w:w="813" w:type="dxa"/>
            <w:gridSpan w:val="2"/>
            <w:tcBorders>
              <w:left w:val="single" w:sz="4" w:space="0" w:color="FFFFFF" w:themeColor="background1"/>
              <w:right w:val="single" w:sz="4" w:space="0" w:color="FFFFFF" w:themeColor="background1"/>
            </w:tcBorders>
            <w:vAlign w:val="bottom"/>
            <w:hideMark/>
          </w:tcPr>
          <w:p w14:paraId="56863457" w14:textId="1B0FCD15" w:rsidR="001E39AF" w:rsidRPr="00165A46" w:rsidRDefault="001E39AF" w:rsidP="00987AF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rPr>
            </w:pPr>
            <w:r w:rsidRPr="00165A46">
              <w:rPr>
                <w:rFonts w:eastAsia="Times New Roman" w:cs="Times New Roman"/>
                <w:sz w:val="20"/>
              </w:rPr>
              <w:t>DFAR</w:t>
            </w:r>
          </w:p>
        </w:tc>
        <w:tc>
          <w:tcPr>
            <w:tcW w:w="450" w:type="dxa"/>
            <w:tcBorders>
              <w:left w:val="single" w:sz="4" w:space="0" w:color="FFFFFF" w:themeColor="background1"/>
              <w:right w:val="single" w:sz="4" w:space="0" w:color="FFFFFF" w:themeColor="background1"/>
            </w:tcBorders>
            <w:vAlign w:val="bottom"/>
            <w:hideMark/>
          </w:tcPr>
          <w:p w14:paraId="7592C33F" w14:textId="77777777" w:rsidR="001E39AF" w:rsidRPr="00165A46" w:rsidRDefault="001E39AF" w:rsidP="00987AF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rPr>
            </w:pPr>
            <w:r w:rsidRPr="00165A46">
              <w:rPr>
                <w:rFonts w:eastAsia="Times New Roman" w:cs="Times New Roman"/>
                <w:sz w:val="20"/>
              </w:rPr>
              <w:t>IR</w:t>
            </w:r>
          </w:p>
        </w:tc>
        <w:tc>
          <w:tcPr>
            <w:tcW w:w="720" w:type="dxa"/>
            <w:tcBorders>
              <w:left w:val="single" w:sz="4" w:space="0" w:color="FFFFFF" w:themeColor="background1"/>
              <w:right w:val="single" w:sz="4" w:space="0" w:color="FFFFFF" w:themeColor="background1"/>
            </w:tcBorders>
            <w:vAlign w:val="bottom"/>
            <w:hideMark/>
          </w:tcPr>
          <w:p w14:paraId="1A5944CB" w14:textId="77777777" w:rsidR="001E39AF" w:rsidRPr="00165A46" w:rsidRDefault="001E39AF" w:rsidP="00987AF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rPr>
            </w:pPr>
            <w:r w:rsidRPr="00165A46">
              <w:rPr>
                <w:rFonts w:eastAsia="Times New Roman" w:cs="Times New Roman"/>
                <w:sz w:val="20"/>
              </w:rPr>
              <w:t>PWS</w:t>
            </w:r>
          </w:p>
        </w:tc>
        <w:tc>
          <w:tcPr>
            <w:tcW w:w="720" w:type="dxa"/>
            <w:tcBorders>
              <w:left w:val="single" w:sz="4" w:space="0" w:color="FFFFFF" w:themeColor="background1"/>
              <w:right w:val="single" w:sz="4" w:space="0" w:color="FFFFFF" w:themeColor="background1"/>
            </w:tcBorders>
            <w:vAlign w:val="bottom"/>
            <w:hideMark/>
          </w:tcPr>
          <w:p w14:paraId="6DB0F1CA" w14:textId="77777777" w:rsidR="001E39AF" w:rsidRPr="00165A46" w:rsidRDefault="001E39AF" w:rsidP="00987AF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rPr>
            </w:pPr>
            <w:r w:rsidRPr="00165A46">
              <w:rPr>
                <w:rFonts w:eastAsia="Times New Roman" w:cs="Times New Roman"/>
                <w:sz w:val="20"/>
              </w:rPr>
              <w:t>SRG</w:t>
            </w:r>
          </w:p>
        </w:tc>
        <w:tc>
          <w:tcPr>
            <w:tcW w:w="720" w:type="dxa"/>
            <w:tcBorders>
              <w:left w:val="single" w:sz="4" w:space="0" w:color="FFFFFF" w:themeColor="background1"/>
              <w:right w:val="single" w:sz="4" w:space="0" w:color="FFFFFF" w:themeColor="background1"/>
            </w:tcBorders>
            <w:vAlign w:val="bottom"/>
            <w:hideMark/>
          </w:tcPr>
          <w:p w14:paraId="3838CE9D" w14:textId="77777777" w:rsidR="001E39AF" w:rsidRPr="00165A46" w:rsidRDefault="001E39AF" w:rsidP="00987AF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rPr>
            </w:pPr>
            <w:r w:rsidRPr="00165A46">
              <w:rPr>
                <w:rFonts w:eastAsia="Times New Roman" w:cs="Times New Roman"/>
                <w:sz w:val="20"/>
              </w:rPr>
              <w:t>SLA</w:t>
            </w:r>
          </w:p>
        </w:tc>
        <w:tc>
          <w:tcPr>
            <w:tcW w:w="900" w:type="dxa"/>
            <w:tcBorders>
              <w:left w:val="single" w:sz="4" w:space="0" w:color="FFFFFF" w:themeColor="background1"/>
              <w:right w:val="single" w:sz="4" w:space="0" w:color="FFFFFF" w:themeColor="background1"/>
            </w:tcBorders>
            <w:vAlign w:val="bottom"/>
            <w:hideMark/>
          </w:tcPr>
          <w:p w14:paraId="765B3D2A" w14:textId="729CD2D0" w:rsidR="001E39AF" w:rsidRPr="00165A46" w:rsidRDefault="001E39AF" w:rsidP="00BF543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rPr>
            </w:pPr>
            <w:r w:rsidRPr="00165A46">
              <w:rPr>
                <w:rFonts w:eastAsia="Times New Roman" w:cs="Times New Roman"/>
                <w:sz w:val="20"/>
              </w:rPr>
              <w:t>C</w:t>
            </w:r>
            <w:r w:rsidR="00BF5438" w:rsidRPr="00165A46">
              <w:rPr>
                <w:rFonts w:eastAsia="Times New Roman" w:cs="Times New Roman"/>
                <w:sz w:val="20"/>
              </w:rPr>
              <w:t>D</w:t>
            </w:r>
            <w:r w:rsidRPr="00165A46">
              <w:rPr>
                <w:rFonts w:eastAsia="Times New Roman" w:cs="Times New Roman"/>
                <w:sz w:val="20"/>
              </w:rPr>
              <w:t>RL</w:t>
            </w:r>
          </w:p>
        </w:tc>
        <w:tc>
          <w:tcPr>
            <w:tcW w:w="793" w:type="dxa"/>
            <w:tcBorders>
              <w:left w:val="single" w:sz="4" w:space="0" w:color="FFFFFF" w:themeColor="background1"/>
            </w:tcBorders>
            <w:vAlign w:val="bottom"/>
            <w:hideMark/>
          </w:tcPr>
          <w:p w14:paraId="2546762F" w14:textId="34BEE97A" w:rsidR="001E39AF" w:rsidRPr="00165A46" w:rsidRDefault="001E39AF" w:rsidP="00987AF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rPr>
            </w:pPr>
            <w:r w:rsidRPr="00165A46">
              <w:rPr>
                <w:rFonts w:eastAsia="Times New Roman" w:cs="Times New Roman"/>
                <w:sz w:val="20"/>
              </w:rPr>
              <w:t>Add</w:t>
            </w:r>
            <w:r w:rsidR="00987AF9" w:rsidRPr="00165A46">
              <w:rPr>
                <w:rFonts w:eastAsia="Times New Roman" w:cs="Times New Roman"/>
                <w:sz w:val="20"/>
              </w:rPr>
              <w:t xml:space="preserve">’l </w:t>
            </w:r>
            <w:r w:rsidRPr="00165A46">
              <w:rPr>
                <w:rFonts w:eastAsia="Times New Roman" w:cs="Times New Roman"/>
                <w:sz w:val="20"/>
              </w:rPr>
              <w:t xml:space="preserve">info </w:t>
            </w:r>
            <w:r w:rsidR="00987AF9" w:rsidRPr="00165A46">
              <w:rPr>
                <w:rFonts w:eastAsia="Times New Roman" w:cs="Times New Roman"/>
                <w:sz w:val="20"/>
              </w:rPr>
              <w:t>req’d</w:t>
            </w:r>
          </w:p>
        </w:tc>
      </w:tr>
      <w:tr w:rsidR="00C37C27" w:rsidRPr="00FB3B0E" w14:paraId="5A61CAB7" w14:textId="77777777" w:rsidTr="00165A46">
        <w:trPr>
          <w:cnfStyle w:val="000000100000" w:firstRow="0" w:lastRow="0" w:firstColumn="0" w:lastColumn="0" w:oddVBand="0" w:evenVBand="0" w:oddHBand="1"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1710" w:type="dxa"/>
            <w:noWrap/>
            <w:hideMark/>
          </w:tcPr>
          <w:p w14:paraId="38845EC0" w14:textId="5E4D708E" w:rsidR="001E39AF" w:rsidRPr="00FB3B0E" w:rsidRDefault="001E39AF" w:rsidP="001E39AF">
            <w:pPr>
              <w:spacing w:after="0" w:line="240" w:lineRule="auto"/>
              <w:rPr>
                <w:rFonts w:eastAsia="Times New Roman" w:cs="Times New Roman"/>
                <w:color w:val="000000"/>
                <w:sz w:val="22"/>
              </w:rPr>
            </w:pPr>
            <w:r w:rsidRPr="00FB3B0E">
              <w:rPr>
                <w:rFonts w:eastAsia="Times New Roman" w:cs="Times New Roman"/>
                <w:color w:val="000000"/>
                <w:sz w:val="22"/>
              </w:rPr>
              <w:t>Asset Availability</w:t>
            </w:r>
          </w:p>
        </w:tc>
        <w:tc>
          <w:tcPr>
            <w:tcW w:w="6135" w:type="dxa"/>
            <w:gridSpan w:val="2"/>
            <w:hideMark/>
          </w:tcPr>
          <w:p w14:paraId="4933BA59" w14:textId="77777777" w:rsidR="001E39AF" w:rsidRPr="00FB3B0E" w:rsidRDefault="001E39AF" w:rsidP="001E39A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(1) The Contractor must inform the Government of any interruption in the availability of the cloud service as required by the service level agreement. </w:t>
            </w:r>
          </w:p>
        </w:tc>
        <w:tc>
          <w:tcPr>
            <w:tcW w:w="795" w:type="dxa"/>
            <w:noWrap/>
            <w:hideMark/>
          </w:tcPr>
          <w:p w14:paraId="6080D6ED"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p>
        </w:tc>
        <w:tc>
          <w:tcPr>
            <w:tcW w:w="450" w:type="dxa"/>
            <w:noWrap/>
            <w:hideMark/>
          </w:tcPr>
          <w:p w14:paraId="49C21FD5"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720" w:type="dxa"/>
            <w:noWrap/>
            <w:hideMark/>
          </w:tcPr>
          <w:p w14:paraId="374C1123"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X</w:t>
            </w:r>
          </w:p>
        </w:tc>
        <w:tc>
          <w:tcPr>
            <w:tcW w:w="720" w:type="dxa"/>
            <w:noWrap/>
            <w:hideMark/>
          </w:tcPr>
          <w:p w14:paraId="7C3A2E9F"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p>
        </w:tc>
        <w:tc>
          <w:tcPr>
            <w:tcW w:w="720" w:type="dxa"/>
            <w:noWrap/>
            <w:hideMark/>
          </w:tcPr>
          <w:p w14:paraId="5F1B91D4"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X</w:t>
            </w:r>
          </w:p>
        </w:tc>
        <w:tc>
          <w:tcPr>
            <w:tcW w:w="900" w:type="dxa"/>
            <w:noWrap/>
            <w:hideMark/>
          </w:tcPr>
          <w:p w14:paraId="3FB66CD3"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p>
        </w:tc>
        <w:tc>
          <w:tcPr>
            <w:tcW w:w="810" w:type="dxa"/>
            <w:gridSpan w:val="2"/>
            <w:noWrap/>
            <w:hideMark/>
          </w:tcPr>
          <w:p w14:paraId="5479A953"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r>
      <w:tr w:rsidR="001C1740" w:rsidRPr="00FB3B0E" w14:paraId="1A865395" w14:textId="77777777" w:rsidTr="00165A46">
        <w:trPr>
          <w:trHeight w:val="2213"/>
          <w:jc w:val="center"/>
        </w:trPr>
        <w:tc>
          <w:tcPr>
            <w:cnfStyle w:val="001000000000" w:firstRow="0" w:lastRow="0" w:firstColumn="1" w:lastColumn="0" w:oddVBand="0" w:evenVBand="0" w:oddHBand="0" w:evenHBand="0" w:firstRowFirstColumn="0" w:firstRowLastColumn="0" w:lastRowFirstColumn="0" w:lastRowLastColumn="0"/>
            <w:tcW w:w="1710" w:type="dxa"/>
            <w:noWrap/>
            <w:hideMark/>
          </w:tcPr>
          <w:p w14:paraId="74AAA818" w14:textId="77777777" w:rsidR="001E39AF" w:rsidRPr="00FB3B0E" w:rsidRDefault="001E39AF" w:rsidP="001E39AF">
            <w:pPr>
              <w:spacing w:after="0" w:line="240" w:lineRule="auto"/>
              <w:rPr>
                <w:rFonts w:eastAsia="Times New Roman" w:cs="Times New Roman"/>
                <w:color w:val="000000"/>
                <w:sz w:val="22"/>
              </w:rPr>
            </w:pPr>
            <w:r w:rsidRPr="00FB3B0E">
              <w:rPr>
                <w:rFonts w:eastAsia="Times New Roman" w:cs="Times New Roman"/>
                <w:color w:val="000000"/>
                <w:sz w:val="22"/>
              </w:rPr>
              <w:t>Asset Availability</w:t>
            </w:r>
          </w:p>
        </w:tc>
        <w:tc>
          <w:tcPr>
            <w:tcW w:w="6135" w:type="dxa"/>
            <w:gridSpan w:val="2"/>
            <w:hideMark/>
          </w:tcPr>
          <w:p w14:paraId="51FF83D9" w14:textId="072AB4A2" w:rsidR="001E39AF" w:rsidRPr="00FB3B0E" w:rsidRDefault="001E39AF" w:rsidP="001E39A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(2) Whenever there is an interruption in service, the Contractor must inform the Government of the estimated time that the system or data will be unavailable</w:t>
            </w:r>
            <w:r w:rsidR="00D85030">
              <w:rPr>
                <w:rFonts w:eastAsia="Times New Roman" w:cs="Times New Roman"/>
                <w:color w:val="000000"/>
                <w:sz w:val="22"/>
              </w:rPr>
              <w:t xml:space="preserve">. </w:t>
            </w:r>
            <w:r w:rsidRPr="00FB3B0E">
              <w:rPr>
                <w:rFonts w:eastAsia="Times New Roman" w:cs="Times New Roman"/>
                <w:color w:val="000000"/>
                <w:sz w:val="22"/>
              </w:rPr>
              <w:t>The estimated timeframe for recovery of the service must be related to the FIPS 199 system categorization for the availability of the system and if specified, agreed upon service level agreements (SLA) and system availability requirements</w:t>
            </w:r>
            <w:r w:rsidR="00D85030">
              <w:rPr>
                <w:rFonts w:eastAsia="Times New Roman" w:cs="Times New Roman"/>
                <w:color w:val="000000"/>
                <w:sz w:val="22"/>
              </w:rPr>
              <w:t xml:space="preserve">. </w:t>
            </w:r>
            <w:r w:rsidRPr="00FB3B0E">
              <w:rPr>
                <w:rFonts w:eastAsia="Times New Roman" w:cs="Times New Roman"/>
                <w:color w:val="000000"/>
                <w:sz w:val="22"/>
              </w:rPr>
              <w:t>The Contractor must provide regular updates to the Government on the status of returning the service to an operating state according to the agreed upon SLAs and system availability requirements.</w:t>
            </w:r>
          </w:p>
        </w:tc>
        <w:tc>
          <w:tcPr>
            <w:tcW w:w="795" w:type="dxa"/>
            <w:noWrap/>
            <w:hideMark/>
          </w:tcPr>
          <w:p w14:paraId="527201A9"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p>
        </w:tc>
        <w:tc>
          <w:tcPr>
            <w:tcW w:w="450" w:type="dxa"/>
            <w:noWrap/>
            <w:hideMark/>
          </w:tcPr>
          <w:p w14:paraId="7AB68476"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720" w:type="dxa"/>
            <w:noWrap/>
            <w:hideMark/>
          </w:tcPr>
          <w:p w14:paraId="47049B6D"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X</w:t>
            </w:r>
          </w:p>
        </w:tc>
        <w:tc>
          <w:tcPr>
            <w:tcW w:w="720" w:type="dxa"/>
            <w:noWrap/>
            <w:hideMark/>
          </w:tcPr>
          <w:p w14:paraId="16CB887B"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p>
        </w:tc>
        <w:tc>
          <w:tcPr>
            <w:tcW w:w="720" w:type="dxa"/>
            <w:noWrap/>
            <w:hideMark/>
          </w:tcPr>
          <w:p w14:paraId="193F8F08"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X</w:t>
            </w:r>
          </w:p>
        </w:tc>
        <w:tc>
          <w:tcPr>
            <w:tcW w:w="900" w:type="dxa"/>
            <w:noWrap/>
            <w:hideMark/>
          </w:tcPr>
          <w:p w14:paraId="365EF029"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p>
        </w:tc>
        <w:tc>
          <w:tcPr>
            <w:tcW w:w="810" w:type="dxa"/>
            <w:gridSpan w:val="2"/>
            <w:noWrap/>
            <w:hideMark/>
          </w:tcPr>
          <w:p w14:paraId="73302EF5"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r>
      <w:tr w:rsidR="00C37C27" w:rsidRPr="00FB3B0E" w14:paraId="572A48F3" w14:textId="77777777" w:rsidTr="00165A46">
        <w:trPr>
          <w:cnfStyle w:val="000000100000" w:firstRow="0" w:lastRow="0" w:firstColumn="0" w:lastColumn="0" w:oddVBand="0" w:evenVBand="0" w:oddHBand="1" w:evenHBand="0" w:firstRowFirstColumn="0" w:firstRowLastColumn="0" w:lastRowFirstColumn="0" w:lastRowLastColumn="0"/>
          <w:trHeight w:val="1800"/>
          <w:jc w:val="center"/>
        </w:trPr>
        <w:tc>
          <w:tcPr>
            <w:cnfStyle w:val="001000000000" w:firstRow="0" w:lastRow="0" w:firstColumn="1" w:lastColumn="0" w:oddVBand="0" w:evenVBand="0" w:oddHBand="0" w:evenHBand="0" w:firstRowFirstColumn="0" w:firstRowLastColumn="0" w:lastRowFirstColumn="0" w:lastRowLastColumn="0"/>
            <w:tcW w:w="1710" w:type="dxa"/>
            <w:noWrap/>
            <w:hideMark/>
          </w:tcPr>
          <w:p w14:paraId="2E41483B" w14:textId="77777777" w:rsidR="001E39AF" w:rsidRPr="00FB3B0E" w:rsidRDefault="001E39AF" w:rsidP="001E39AF">
            <w:pPr>
              <w:spacing w:after="0" w:line="240" w:lineRule="auto"/>
              <w:rPr>
                <w:rFonts w:eastAsia="Times New Roman" w:cs="Times New Roman"/>
                <w:color w:val="000000"/>
                <w:sz w:val="22"/>
              </w:rPr>
            </w:pPr>
            <w:r w:rsidRPr="00FB3B0E">
              <w:rPr>
                <w:rFonts w:eastAsia="Times New Roman" w:cs="Times New Roman"/>
                <w:color w:val="000000"/>
                <w:sz w:val="22"/>
              </w:rPr>
              <w:t>Asset Availability</w:t>
            </w:r>
          </w:p>
        </w:tc>
        <w:tc>
          <w:tcPr>
            <w:tcW w:w="6135" w:type="dxa"/>
            <w:gridSpan w:val="2"/>
            <w:hideMark/>
          </w:tcPr>
          <w:p w14:paraId="197CD5C1" w14:textId="77777777" w:rsidR="001E39AF" w:rsidRPr="00FB3B0E" w:rsidRDefault="001E39AF" w:rsidP="001E39A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(3) The Contractor shall be responsible for maintaining and ensuring continued compatibility and interoperability with the Government’s systems, infrastructure, and processes for the term of the contract. In the event of an unavoidable compatibility and interoperability issue, the Contractor shall be responsible for providing timely notification to the Government and shall be responsible for working with the Government to identify appropriate remedies and if applicable, work with the Government to facilitate a smooth and seamless transition to an alternative solution and/or provider.</w:t>
            </w:r>
          </w:p>
        </w:tc>
        <w:tc>
          <w:tcPr>
            <w:tcW w:w="795" w:type="dxa"/>
            <w:noWrap/>
            <w:hideMark/>
          </w:tcPr>
          <w:p w14:paraId="65210A2E"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p>
        </w:tc>
        <w:tc>
          <w:tcPr>
            <w:tcW w:w="450" w:type="dxa"/>
            <w:noWrap/>
            <w:hideMark/>
          </w:tcPr>
          <w:p w14:paraId="3F9061F9"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720" w:type="dxa"/>
            <w:noWrap/>
            <w:hideMark/>
          </w:tcPr>
          <w:p w14:paraId="210B7071"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X</w:t>
            </w:r>
          </w:p>
        </w:tc>
        <w:tc>
          <w:tcPr>
            <w:tcW w:w="720" w:type="dxa"/>
            <w:noWrap/>
            <w:hideMark/>
          </w:tcPr>
          <w:p w14:paraId="4EE55081"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p>
        </w:tc>
        <w:tc>
          <w:tcPr>
            <w:tcW w:w="720" w:type="dxa"/>
            <w:noWrap/>
            <w:hideMark/>
          </w:tcPr>
          <w:p w14:paraId="4E4E3A35"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X</w:t>
            </w:r>
          </w:p>
        </w:tc>
        <w:tc>
          <w:tcPr>
            <w:tcW w:w="900" w:type="dxa"/>
            <w:noWrap/>
            <w:hideMark/>
          </w:tcPr>
          <w:p w14:paraId="2A1BD8D3"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p>
        </w:tc>
        <w:tc>
          <w:tcPr>
            <w:tcW w:w="810" w:type="dxa"/>
            <w:gridSpan w:val="2"/>
            <w:noWrap/>
            <w:hideMark/>
          </w:tcPr>
          <w:p w14:paraId="0959DAC4"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r>
      <w:tr w:rsidR="001C1740" w:rsidRPr="00FB3B0E" w14:paraId="14707FAD" w14:textId="77777777" w:rsidTr="00165A46">
        <w:trPr>
          <w:trHeight w:val="233"/>
          <w:jc w:val="center"/>
        </w:trPr>
        <w:tc>
          <w:tcPr>
            <w:cnfStyle w:val="001000000000" w:firstRow="0" w:lastRow="0" w:firstColumn="1" w:lastColumn="0" w:oddVBand="0" w:evenVBand="0" w:oddHBand="0" w:evenHBand="0" w:firstRowFirstColumn="0" w:firstRowLastColumn="0" w:lastRowFirstColumn="0" w:lastRowLastColumn="0"/>
            <w:tcW w:w="1710" w:type="dxa"/>
            <w:noWrap/>
            <w:hideMark/>
          </w:tcPr>
          <w:p w14:paraId="0C3D7184" w14:textId="77777777" w:rsidR="001E39AF" w:rsidRPr="00FB3B0E" w:rsidRDefault="001E39AF" w:rsidP="001E39AF">
            <w:pPr>
              <w:spacing w:after="0" w:line="240" w:lineRule="auto"/>
              <w:rPr>
                <w:rFonts w:eastAsia="Times New Roman" w:cs="Times New Roman"/>
                <w:color w:val="000000"/>
                <w:sz w:val="22"/>
              </w:rPr>
            </w:pPr>
            <w:r w:rsidRPr="00FB3B0E">
              <w:rPr>
                <w:rFonts w:eastAsia="Times New Roman" w:cs="Times New Roman"/>
                <w:color w:val="000000"/>
                <w:sz w:val="22"/>
              </w:rPr>
              <w:t>Banner</w:t>
            </w:r>
          </w:p>
        </w:tc>
        <w:tc>
          <w:tcPr>
            <w:tcW w:w="6135" w:type="dxa"/>
            <w:gridSpan w:val="2"/>
            <w:hideMark/>
          </w:tcPr>
          <w:p w14:paraId="2C388343" w14:textId="77777777" w:rsidR="001E39AF" w:rsidRPr="00FB3B0E" w:rsidRDefault="001E39AF" w:rsidP="001E39A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 xml:space="preserve">The Standard Mandatory DoD Notice and Consent Banner will be displayed at log on to all DoD information systems. Choose either banner a or b based on the character limitations imposed by the system. The formatting of these documents, to include the exact spacing between paragraphs, must be maintained. The banner shall be implemented as a click-through banner at logon (to the extent permitted by the operating system), meaning it prevents further activity on the information system unless and until the user executes a positive action to manifest agreement by clicking on a box indicating “OK.” </w:t>
            </w:r>
          </w:p>
        </w:tc>
        <w:tc>
          <w:tcPr>
            <w:tcW w:w="795" w:type="dxa"/>
            <w:noWrap/>
            <w:hideMark/>
          </w:tcPr>
          <w:p w14:paraId="0F105E8F"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p>
        </w:tc>
        <w:tc>
          <w:tcPr>
            <w:tcW w:w="450" w:type="dxa"/>
            <w:noWrap/>
            <w:hideMark/>
          </w:tcPr>
          <w:p w14:paraId="020856CA"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720" w:type="dxa"/>
            <w:noWrap/>
            <w:hideMark/>
          </w:tcPr>
          <w:p w14:paraId="14F637C3"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X</w:t>
            </w:r>
          </w:p>
        </w:tc>
        <w:tc>
          <w:tcPr>
            <w:tcW w:w="720" w:type="dxa"/>
            <w:noWrap/>
            <w:hideMark/>
          </w:tcPr>
          <w:p w14:paraId="44C5E60B"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p>
        </w:tc>
        <w:tc>
          <w:tcPr>
            <w:tcW w:w="720" w:type="dxa"/>
            <w:noWrap/>
            <w:hideMark/>
          </w:tcPr>
          <w:p w14:paraId="7717194C"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900" w:type="dxa"/>
            <w:noWrap/>
            <w:hideMark/>
          </w:tcPr>
          <w:p w14:paraId="4C3268A0"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810" w:type="dxa"/>
            <w:gridSpan w:val="2"/>
            <w:noWrap/>
            <w:hideMark/>
          </w:tcPr>
          <w:p w14:paraId="44E4B13E"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r>
      <w:tr w:rsidR="00C37C27" w:rsidRPr="00FB3B0E" w14:paraId="03E47929" w14:textId="77777777" w:rsidTr="00165A46">
        <w:trPr>
          <w:cnfStyle w:val="000000100000" w:firstRow="0" w:lastRow="0" w:firstColumn="0" w:lastColumn="0" w:oddVBand="0" w:evenVBand="0" w:oddHBand="1" w:evenHBand="0" w:firstRowFirstColumn="0" w:firstRowLastColumn="0" w:lastRowFirstColumn="0" w:lastRowLastColumn="0"/>
          <w:trHeight w:val="490"/>
          <w:jc w:val="center"/>
        </w:trPr>
        <w:tc>
          <w:tcPr>
            <w:cnfStyle w:val="001000000000" w:firstRow="0" w:lastRow="0" w:firstColumn="1" w:lastColumn="0" w:oddVBand="0" w:evenVBand="0" w:oddHBand="0" w:evenHBand="0" w:firstRowFirstColumn="0" w:firstRowLastColumn="0" w:lastRowFirstColumn="0" w:lastRowLastColumn="0"/>
            <w:tcW w:w="1710" w:type="dxa"/>
            <w:noWrap/>
            <w:hideMark/>
          </w:tcPr>
          <w:p w14:paraId="3ADED5C2" w14:textId="77777777" w:rsidR="001E39AF" w:rsidRPr="00FB3B0E" w:rsidRDefault="001E39AF" w:rsidP="001E39AF">
            <w:pPr>
              <w:spacing w:after="0" w:line="240" w:lineRule="auto"/>
              <w:rPr>
                <w:rFonts w:eastAsia="Times New Roman" w:cs="Times New Roman"/>
                <w:color w:val="000000"/>
                <w:sz w:val="22"/>
              </w:rPr>
            </w:pPr>
            <w:r w:rsidRPr="00FB3B0E">
              <w:rPr>
                <w:rFonts w:eastAsia="Times New Roman" w:cs="Times New Roman"/>
                <w:color w:val="000000"/>
                <w:sz w:val="22"/>
              </w:rPr>
              <w:t>Banner</w:t>
            </w:r>
          </w:p>
        </w:tc>
        <w:tc>
          <w:tcPr>
            <w:tcW w:w="6135" w:type="dxa"/>
            <w:gridSpan w:val="2"/>
            <w:hideMark/>
          </w:tcPr>
          <w:p w14:paraId="11BB3903" w14:textId="4A7CD9BF" w:rsidR="001E39AF" w:rsidRPr="00FB3B0E" w:rsidRDefault="001E39AF" w:rsidP="00BF487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 xml:space="preserve">a. [Use this banner for desktops, laptops, and other devices </w:t>
            </w:r>
            <w:r w:rsidR="00BF4874" w:rsidRPr="00FB3B0E">
              <w:rPr>
                <w:rFonts w:eastAsia="Times New Roman" w:cs="Times New Roman"/>
                <w:color w:val="000000"/>
                <w:sz w:val="22"/>
              </w:rPr>
              <w:t>a</w:t>
            </w:r>
            <w:r w:rsidRPr="00FB3B0E">
              <w:rPr>
                <w:rFonts w:eastAsia="Times New Roman" w:cs="Times New Roman"/>
                <w:color w:val="000000"/>
                <w:sz w:val="22"/>
              </w:rPr>
              <w:t>ccommodatin</w:t>
            </w:r>
            <w:r w:rsidR="00D85030">
              <w:rPr>
                <w:rFonts w:eastAsia="Times New Roman" w:cs="Times New Roman"/>
                <w:color w:val="000000"/>
                <w:sz w:val="22"/>
              </w:rPr>
              <w:t>g banners of 1300 characters.]</w:t>
            </w:r>
          </w:p>
        </w:tc>
        <w:tc>
          <w:tcPr>
            <w:tcW w:w="795" w:type="dxa"/>
            <w:noWrap/>
            <w:hideMark/>
          </w:tcPr>
          <w:p w14:paraId="5686F125"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p>
        </w:tc>
        <w:tc>
          <w:tcPr>
            <w:tcW w:w="450" w:type="dxa"/>
            <w:noWrap/>
            <w:hideMark/>
          </w:tcPr>
          <w:p w14:paraId="11DDF61B"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720" w:type="dxa"/>
            <w:noWrap/>
            <w:hideMark/>
          </w:tcPr>
          <w:p w14:paraId="0B371F3C"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X</w:t>
            </w:r>
          </w:p>
        </w:tc>
        <w:tc>
          <w:tcPr>
            <w:tcW w:w="720" w:type="dxa"/>
            <w:noWrap/>
            <w:hideMark/>
          </w:tcPr>
          <w:p w14:paraId="5CB607D4"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p>
        </w:tc>
        <w:tc>
          <w:tcPr>
            <w:tcW w:w="720" w:type="dxa"/>
            <w:noWrap/>
            <w:hideMark/>
          </w:tcPr>
          <w:p w14:paraId="4E573159"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900" w:type="dxa"/>
            <w:noWrap/>
            <w:hideMark/>
          </w:tcPr>
          <w:p w14:paraId="020CFB4D"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810" w:type="dxa"/>
            <w:gridSpan w:val="2"/>
            <w:noWrap/>
            <w:hideMark/>
          </w:tcPr>
          <w:p w14:paraId="471175E4"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r>
      <w:tr w:rsidR="001C1740" w:rsidRPr="00FB3B0E" w14:paraId="171BECFA" w14:textId="77777777" w:rsidTr="00165A46">
        <w:trPr>
          <w:trHeight w:val="490"/>
          <w:jc w:val="center"/>
        </w:trPr>
        <w:tc>
          <w:tcPr>
            <w:cnfStyle w:val="001000000000" w:firstRow="0" w:lastRow="0" w:firstColumn="1" w:lastColumn="0" w:oddVBand="0" w:evenVBand="0" w:oddHBand="0" w:evenHBand="0" w:firstRowFirstColumn="0" w:firstRowLastColumn="0" w:lastRowFirstColumn="0" w:lastRowLastColumn="0"/>
            <w:tcW w:w="1710" w:type="dxa"/>
            <w:noWrap/>
            <w:hideMark/>
          </w:tcPr>
          <w:p w14:paraId="6F08CF64" w14:textId="77777777" w:rsidR="001E39AF" w:rsidRPr="00FB3B0E" w:rsidRDefault="001E39AF" w:rsidP="001E39AF">
            <w:pPr>
              <w:spacing w:after="0" w:line="240" w:lineRule="auto"/>
              <w:rPr>
                <w:rFonts w:eastAsia="Times New Roman" w:cs="Times New Roman"/>
                <w:color w:val="000000"/>
                <w:sz w:val="22"/>
              </w:rPr>
            </w:pPr>
            <w:r w:rsidRPr="00FB3B0E">
              <w:rPr>
                <w:rFonts w:eastAsia="Times New Roman" w:cs="Times New Roman"/>
                <w:color w:val="000000"/>
                <w:sz w:val="22"/>
              </w:rPr>
              <w:t>Banner</w:t>
            </w:r>
          </w:p>
        </w:tc>
        <w:tc>
          <w:tcPr>
            <w:tcW w:w="6135" w:type="dxa"/>
            <w:gridSpan w:val="2"/>
            <w:hideMark/>
          </w:tcPr>
          <w:p w14:paraId="400923B1" w14:textId="77777777" w:rsidR="001E39AF" w:rsidRPr="00FB3B0E" w:rsidRDefault="001E39AF" w:rsidP="001E39A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 xml:space="preserve">You are accessing a U.S. Government (USG) Information System (IS) that is provided for USG-authorized use only. </w:t>
            </w:r>
          </w:p>
        </w:tc>
        <w:tc>
          <w:tcPr>
            <w:tcW w:w="795" w:type="dxa"/>
            <w:noWrap/>
            <w:hideMark/>
          </w:tcPr>
          <w:p w14:paraId="39AB1A96"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p>
        </w:tc>
        <w:tc>
          <w:tcPr>
            <w:tcW w:w="450" w:type="dxa"/>
            <w:noWrap/>
            <w:hideMark/>
          </w:tcPr>
          <w:p w14:paraId="7427CBCC"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720" w:type="dxa"/>
            <w:noWrap/>
            <w:hideMark/>
          </w:tcPr>
          <w:p w14:paraId="35C2531C"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X</w:t>
            </w:r>
          </w:p>
        </w:tc>
        <w:tc>
          <w:tcPr>
            <w:tcW w:w="720" w:type="dxa"/>
            <w:noWrap/>
            <w:hideMark/>
          </w:tcPr>
          <w:p w14:paraId="7AFB38B4"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p>
        </w:tc>
        <w:tc>
          <w:tcPr>
            <w:tcW w:w="720" w:type="dxa"/>
            <w:noWrap/>
            <w:hideMark/>
          </w:tcPr>
          <w:p w14:paraId="12BB41F0"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900" w:type="dxa"/>
            <w:noWrap/>
            <w:hideMark/>
          </w:tcPr>
          <w:p w14:paraId="34DD4112"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810" w:type="dxa"/>
            <w:gridSpan w:val="2"/>
            <w:noWrap/>
            <w:hideMark/>
          </w:tcPr>
          <w:p w14:paraId="271621D0"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r>
      <w:tr w:rsidR="00C37C27" w:rsidRPr="00FB3B0E" w14:paraId="33A514A0" w14:textId="77777777" w:rsidTr="00165A46">
        <w:trPr>
          <w:cnfStyle w:val="000000100000" w:firstRow="0" w:lastRow="0" w:firstColumn="0" w:lastColumn="0" w:oddVBand="0" w:evenVBand="0" w:oddHBand="1" w:evenHBand="0" w:firstRowFirstColumn="0" w:firstRowLastColumn="0" w:lastRowFirstColumn="0" w:lastRowLastColumn="0"/>
          <w:trHeight w:val="521"/>
          <w:jc w:val="center"/>
        </w:trPr>
        <w:tc>
          <w:tcPr>
            <w:cnfStyle w:val="001000000000" w:firstRow="0" w:lastRow="0" w:firstColumn="1" w:lastColumn="0" w:oddVBand="0" w:evenVBand="0" w:oddHBand="0" w:evenHBand="0" w:firstRowFirstColumn="0" w:firstRowLastColumn="0" w:lastRowFirstColumn="0" w:lastRowLastColumn="0"/>
            <w:tcW w:w="1710" w:type="dxa"/>
            <w:noWrap/>
            <w:hideMark/>
          </w:tcPr>
          <w:p w14:paraId="255EE014" w14:textId="77777777" w:rsidR="001E39AF" w:rsidRPr="00FB3B0E" w:rsidRDefault="001E39AF" w:rsidP="001E39AF">
            <w:pPr>
              <w:spacing w:after="0" w:line="240" w:lineRule="auto"/>
              <w:rPr>
                <w:rFonts w:eastAsia="Times New Roman" w:cs="Times New Roman"/>
                <w:color w:val="000000"/>
                <w:sz w:val="22"/>
              </w:rPr>
            </w:pPr>
            <w:r w:rsidRPr="00FB3B0E">
              <w:rPr>
                <w:rFonts w:eastAsia="Times New Roman" w:cs="Times New Roman"/>
                <w:color w:val="000000"/>
                <w:sz w:val="22"/>
              </w:rPr>
              <w:t>Banner</w:t>
            </w:r>
          </w:p>
        </w:tc>
        <w:tc>
          <w:tcPr>
            <w:tcW w:w="6135" w:type="dxa"/>
            <w:gridSpan w:val="2"/>
            <w:hideMark/>
          </w:tcPr>
          <w:p w14:paraId="43C72E04" w14:textId="77777777" w:rsidR="001E39AF" w:rsidRPr="00FB3B0E" w:rsidRDefault="001E39AF" w:rsidP="001E39A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 xml:space="preserve">By using this IS (which includes any device attached to this IS), you consent to the following conditions: </w:t>
            </w:r>
          </w:p>
        </w:tc>
        <w:tc>
          <w:tcPr>
            <w:tcW w:w="795" w:type="dxa"/>
            <w:noWrap/>
            <w:hideMark/>
          </w:tcPr>
          <w:p w14:paraId="4B3D259F"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p>
        </w:tc>
        <w:tc>
          <w:tcPr>
            <w:tcW w:w="450" w:type="dxa"/>
            <w:noWrap/>
            <w:hideMark/>
          </w:tcPr>
          <w:p w14:paraId="03D91A42"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720" w:type="dxa"/>
            <w:noWrap/>
            <w:hideMark/>
          </w:tcPr>
          <w:p w14:paraId="3AD1131E"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X</w:t>
            </w:r>
          </w:p>
        </w:tc>
        <w:tc>
          <w:tcPr>
            <w:tcW w:w="720" w:type="dxa"/>
            <w:noWrap/>
            <w:hideMark/>
          </w:tcPr>
          <w:p w14:paraId="01D74822"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p>
        </w:tc>
        <w:tc>
          <w:tcPr>
            <w:tcW w:w="720" w:type="dxa"/>
            <w:noWrap/>
            <w:hideMark/>
          </w:tcPr>
          <w:p w14:paraId="3AF6F8D9"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900" w:type="dxa"/>
            <w:noWrap/>
            <w:hideMark/>
          </w:tcPr>
          <w:p w14:paraId="2FB57507"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810" w:type="dxa"/>
            <w:gridSpan w:val="2"/>
            <w:noWrap/>
            <w:hideMark/>
          </w:tcPr>
          <w:p w14:paraId="5F575001"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r>
      <w:tr w:rsidR="001C1740" w:rsidRPr="00FB3B0E" w14:paraId="0D6DCF88" w14:textId="77777777" w:rsidTr="00165A46">
        <w:trPr>
          <w:trHeight w:val="908"/>
          <w:jc w:val="center"/>
        </w:trPr>
        <w:tc>
          <w:tcPr>
            <w:cnfStyle w:val="001000000000" w:firstRow="0" w:lastRow="0" w:firstColumn="1" w:lastColumn="0" w:oddVBand="0" w:evenVBand="0" w:oddHBand="0" w:evenHBand="0" w:firstRowFirstColumn="0" w:firstRowLastColumn="0" w:lastRowFirstColumn="0" w:lastRowLastColumn="0"/>
            <w:tcW w:w="1710" w:type="dxa"/>
            <w:noWrap/>
            <w:hideMark/>
          </w:tcPr>
          <w:p w14:paraId="5F1504EE" w14:textId="77777777" w:rsidR="001E39AF" w:rsidRPr="00FB3B0E" w:rsidRDefault="001E39AF" w:rsidP="001E39AF">
            <w:pPr>
              <w:spacing w:after="0" w:line="240" w:lineRule="auto"/>
              <w:rPr>
                <w:rFonts w:eastAsia="Times New Roman" w:cs="Times New Roman"/>
                <w:color w:val="000000"/>
                <w:sz w:val="22"/>
              </w:rPr>
            </w:pPr>
            <w:r w:rsidRPr="00FB3B0E">
              <w:rPr>
                <w:rFonts w:eastAsia="Times New Roman" w:cs="Times New Roman"/>
                <w:color w:val="000000"/>
                <w:sz w:val="22"/>
              </w:rPr>
              <w:t>Banner</w:t>
            </w:r>
          </w:p>
        </w:tc>
        <w:tc>
          <w:tcPr>
            <w:tcW w:w="6135" w:type="dxa"/>
            <w:gridSpan w:val="2"/>
            <w:hideMark/>
          </w:tcPr>
          <w:p w14:paraId="446B1140" w14:textId="77777777" w:rsidR="001E39AF" w:rsidRPr="00FB3B0E" w:rsidRDefault="001E39AF" w:rsidP="001E39A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 The USG routinely intercepts and monitors communications on this IS for purposes including, but not limited to, penetration testing, COMSEC monitoring, network operations and defense, personnel misconduct (PM), law enforcement (LE), and counterintelligence (CI) investigations</w:t>
            </w:r>
          </w:p>
        </w:tc>
        <w:tc>
          <w:tcPr>
            <w:tcW w:w="795" w:type="dxa"/>
            <w:noWrap/>
            <w:hideMark/>
          </w:tcPr>
          <w:p w14:paraId="5A81A894"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p>
        </w:tc>
        <w:tc>
          <w:tcPr>
            <w:tcW w:w="450" w:type="dxa"/>
            <w:noWrap/>
            <w:hideMark/>
          </w:tcPr>
          <w:p w14:paraId="3B2D17EC"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720" w:type="dxa"/>
            <w:noWrap/>
            <w:hideMark/>
          </w:tcPr>
          <w:p w14:paraId="4BFB90A0"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X</w:t>
            </w:r>
          </w:p>
        </w:tc>
        <w:tc>
          <w:tcPr>
            <w:tcW w:w="720" w:type="dxa"/>
            <w:noWrap/>
            <w:hideMark/>
          </w:tcPr>
          <w:p w14:paraId="0CE82671"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p>
        </w:tc>
        <w:tc>
          <w:tcPr>
            <w:tcW w:w="720" w:type="dxa"/>
            <w:noWrap/>
            <w:hideMark/>
          </w:tcPr>
          <w:p w14:paraId="41176823"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900" w:type="dxa"/>
            <w:noWrap/>
            <w:hideMark/>
          </w:tcPr>
          <w:p w14:paraId="3A02CB33"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810" w:type="dxa"/>
            <w:gridSpan w:val="2"/>
            <w:noWrap/>
            <w:hideMark/>
          </w:tcPr>
          <w:p w14:paraId="183A3E1E"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r>
      <w:tr w:rsidR="00C37C27" w:rsidRPr="00FB3B0E" w14:paraId="6D084935" w14:textId="77777777" w:rsidTr="00165A46">
        <w:trPr>
          <w:cnfStyle w:val="000000100000" w:firstRow="0" w:lastRow="0" w:firstColumn="0" w:lastColumn="0" w:oddVBand="0" w:evenVBand="0" w:oddHBand="1" w:evenHBand="0" w:firstRowFirstColumn="0" w:firstRowLastColumn="0" w:lastRowFirstColumn="0" w:lastRowLastColumn="0"/>
          <w:trHeight w:val="490"/>
          <w:jc w:val="center"/>
        </w:trPr>
        <w:tc>
          <w:tcPr>
            <w:cnfStyle w:val="001000000000" w:firstRow="0" w:lastRow="0" w:firstColumn="1" w:lastColumn="0" w:oddVBand="0" w:evenVBand="0" w:oddHBand="0" w:evenHBand="0" w:firstRowFirstColumn="0" w:firstRowLastColumn="0" w:lastRowFirstColumn="0" w:lastRowLastColumn="0"/>
            <w:tcW w:w="1710" w:type="dxa"/>
            <w:noWrap/>
            <w:hideMark/>
          </w:tcPr>
          <w:p w14:paraId="48BF4496" w14:textId="77777777" w:rsidR="001E39AF" w:rsidRPr="00FB3B0E" w:rsidRDefault="001E39AF" w:rsidP="001E39AF">
            <w:pPr>
              <w:spacing w:after="0" w:line="240" w:lineRule="auto"/>
              <w:rPr>
                <w:rFonts w:eastAsia="Times New Roman" w:cs="Times New Roman"/>
                <w:color w:val="000000"/>
                <w:sz w:val="22"/>
              </w:rPr>
            </w:pPr>
            <w:r w:rsidRPr="00FB3B0E">
              <w:rPr>
                <w:rFonts w:eastAsia="Times New Roman" w:cs="Times New Roman"/>
                <w:color w:val="000000"/>
                <w:sz w:val="22"/>
              </w:rPr>
              <w:t>Banner</w:t>
            </w:r>
          </w:p>
        </w:tc>
        <w:tc>
          <w:tcPr>
            <w:tcW w:w="6135" w:type="dxa"/>
            <w:gridSpan w:val="2"/>
            <w:hideMark/>
          </w:tcPr>
          <w:p w14:paraId="6CB70076" w14:textId="77777777" w:rsidR="001E39AF" w:rsidRPr="00FB3B0E" w:rsidRDefault="001E39AF" w:rsidP="001E39A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 xml:space="preserve"> - At any time, the USG may inspect and seize data stored on this IS</w:t>
            </w:r>
          </w:p>
        </w:tc>
        <w:tc>
          <w:tcPr>
            <w:tcW w:w="795" w:type="dxa"/>
            <w:noWrap/>
            <w:hideMark/>
          </w:tcPr>
          <w:p w14:paraId="4399A421"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p>
        </w:tc>
        <w:tc>
          <w:tcPr>
            <w:tcW w:w="450" w:type="dxa"/>
            <w:noWrap/>
            <w:hideMark/>
          </w:tcPr>
          <w:p w14:paraId="783A6A2A"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720" w:type="dxa"/>
            <w:noWrap/>
            <w:hideMark/>
          </w:tcPr>
          <w:p w14:paraId="7407C7D6"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X</w:t>
            </w:r>
          </w:p>
        </w:tc>
        <w:tc>
          <w:tcPr>
            <w:tcW w:w="720" w:type="dxa"/>
            <w:noWrap/>
            <w:hideMark/>
          </w:tcPr>
          <w:p w14:paraId="698A633C"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p>
        </w:tc>
        <w:tc>
          <w:tcPr>
            <w:tcW w:w="720" w:type="dxa"/>
            <w:noWrap/>
            <w:hideMark/>
          </w:tcPr>
          <w:p w14:paraId="7D0DF6CB"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900" w:type="dxa"/>
            <w:noWrap/>
            <w:hideMark/>
          </w:tcPr>
          <w:p w14:paraId="1BC1CF92"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810" w:type="dxa"/>
            <w:gridSpan w:val="2"/>
            <w:noWrap/>
            <w:hideMark/>
          </w:tcPr>
          <w:p w14:paraId="7544D766"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r>
      <w:tr w:rsidR="001C1740" w:rsidRPr="00FB3B0E" w14:paraId="3C98158B" w14:textId="77777777" w:rsidTr="00165A46">
        <w:trPr>
          <w:trHeight w:val="600"/>
          <w:jc w:val="center"/>
        </w:trPr>
        <w:tc>
          <w:tcPr>
            <w:cnfStyle w:val="001000000000" w:firstRow="0" w:lastRow="0" w:firstColumn="1" w:lastColumn="0" w:oddVBand="0" w:evenVBand="0" w:oddHBand="0" w:evenHBand="0" w:firstRowFirstColumn="0" w:firstRowLastColumn="0" w:lastRowFirstColumn="0" w:lastRowLastColumn="0"/>
            <w:tcW w:w="1710" w:type="dxa"/>
            <w:noWrap/>
            <w:hideMark/>
          </w:tcPr>
          <w:p w14:paraId="71ED587B" w14:textId="77777777" w:rsidR="001E39AF" w:rsidRPr="00FB3B0E" w:rsidRDefault="001E39AF" w:rsidP="001E39AF">
            <w:pPr>
              <w:spacing w:after="0" w:line="240" w:lineRule="auto"/>
              <w:rPr>
                <w:rFonts w:eastAsia="Times New Roman" w:cs="Times New Roman"/>
                <w:color w:val="000000"/>
                <w:sz w:val="22"/>
              </w:rPr>
            </w:pPr>
            <w:r w:rsidRPr="00FB3B0E">
              <w:rPr>
                <w:rFonts w:eastAsia="Times New Roman" w:cs="Times New Roman"/>
                <w:color w:val="000000"/>
                <w:sz w:val="22"/>
              </w:rPr>
              <w:t>Banner</w:t>
            </w:r>
          </w:p>
        </w:tc>
        <w:tc>
          <w:tcPr>
            <w:tcW w:w="6135" w:type="dxa"/>
            <w:gridSpan w:val="2"/>
            <w:hideMark/>
          </w:tcPr>
          <w:p w14:paraId="39686BFB" w14:textId="77777777" w:rsidR="001E39AF" w:rsidRPr="00FB3B0E" w:rsidRDefault="001E39AF" w:rsidP="001E39A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 xml:space="preserve">- Communications using, or data stored on, this IS are not private, are subject to routine monitoring, interception, and search, and may be disclosed or used for any USG-authorized purpose. </w:t>
            </w:r>
          </w:p>
        </w:tc>
        <w:tc>
          <w:tcPr>
            <w:tcW w:w="795" w:type="dxa"/>
            <w:noWrap/>
            <w:hideMark/>
          </w:tcPr>
          <w:p w14:paraId="76035B6A"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p>
        </w:tc>
        <w:tc>
          <w:tcPr>
            <w:tcW w:w="450" w:type="dxa"/>
            <w:noWrap/>
            <w:hideMark/>
          </w:tcPr>
          <w:p w14:paraId="79D6EC89"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720" w:type="dxa"/>
            <w:noWrap/>
            <w:hideMark/>
          </w:tcPr>
          <w:p w14:paraId="453D4DDD"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X</w:t>
            </w:r>
          </w:p>
        </w:tc>
        <w:tc>
          <w:tcPr>
            <w:tcW w:w="720" w:type="dxa"/>
            <w:noWrap/>
            <w:hideMark/>
          </w:tcPr>
          <w:p w14:paraId="5BE0E822"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p>
        </w:tc>
        <w:tc>
          <w:tcPr>
            <w:tcW w:w="720" w:type="dxa"/>
            <w:noWrap/>
            <w:hideMark/>
          </w:tcPr>
          <w:p w14:paraId="5E3639D0"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900" w:type="dxa"/>
            <w:noWrap/>
            <w:hideMark/>
          </w:tcPr>
          <w:p w14:paraId="6154DC1E"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810" w:type="dxa"/>
            <w:gridSpan w:val="2"/>
            <w:noWrap/>
            <w:hideMark/>
          </w:tcPr>
          <w:p w14:paraId="0F8D58E5"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r>
      <w:tr w:rsidR="00C37C27" w:rsidRPr="00FB3B0E" w14:paraId="14EFAC2A" w14:textId="77777777" w:rsidTr="00165A46">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1710" w:type="dxa"/>
            <w:noWrap/>
            <w:hideMark/>
          </w:tcPr>
          <w:p w14:paraId="317F52DC" w14:textId="77777777" w:rsidR="001E39AF" w:rsidRPr="00FB3B0E" w:rsidRDefault="001E39AF" w:rsidP="001E39AF">
            <w:pPr>
              <w:spacing w:after="0" w:line="240" w:lineRule="auto"/>
              <w:rPr>
                <w:rFonts w:eastAsia="Times New Roman" w:cs="Times New Roman"/>
                <w:color w:val="000000"/>
                <w:sz w:val="22"/>
              </w:rPr>
            </w:pPr>
            <w:r w:rsidRPr="00FB3B0E">
              <w:rPr>
                <w:rFonts w:eastAsia="Times New Roman" w:cs="Times New Roman"/>
                <w:color w:val="000000"/>
                <w:sz w:val="22"/>
              </w:rPr>
              <w:t>Banner</w:t>
            </w:r>
          </w:p>
        </w:tc>
        <w:tc>
          <w:tcPr>
            <w:tcW w:w="6135" w:type="dxa"/>
            <w:gridSpan w:val="2"/>
            <w:hideMark/>
          </w:tcPr>
          <w:p w14:paraId="7C9A81D5" w14:textId="77777777" w:rsidR="001E39AF" w:rsidRPr="00FB3B0E" w:rsidRDefault="001E39AF" w:rsidP="001E39A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 xml:space="preserve">- This IS includes security measures (e.g., authentication and access controls) to protect USG interests--not for your personal benefit or privacy. </w:t>
            </w:r>
          </w:p>
        </w:tc>
        <w:tc>
          <w:tcPr>
            <w:tcW w:w="795" w:type="dxa"/>
            <w:noWrap/>
            <w:hideMark/>
          </w:tcPr>
          <w:p w14:paraId="4E73C642"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p>
        </w:tc>
        <w:tc>
          <w:tcPr>
            <w:tcW w:w="450" w:type="dxa"/>
            <w:noWrap/>
            <w:hideMark/>
          </w:tcPr>
          <w:p w14:paraId="4A89B1CF"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720" w:type="dxa"/>
            <w:noWrap/>
            <w:hideMark/>
          </w:tcPr>
          <w:p w14:paraId="1F773841"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X</w:t>
            </w:r>
          </w:p>
        </w:tc>
        <w:tc>
          <w:tcPr>
            <w:tcW w:w="720" w:type="dxa"/>
            <w:noWrap/>
            <w:hideMark/>
          </w:tcPr>
          <w:p w14:paraId="3BB5D83A"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p>
        </w:tc>
        <w:tc>
          <w:tcPr>
            <w:tcW w:w="720" w:type="dxa"/>
            <w:noWrap/>
            <w:hideMark/>
          </w:tcPr>
          <w:p w14:paraId="4A34EEE7"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900" w:type="dxa"/>
            <w:noWrap/>
            <w:hideMark/>
          </w:tcPr>
          <w:p w14:paraId="6BBDF8D8"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810" w:type="dxa"/>
            <w:gridSpan w:val="2"/>
            <w:noWrap/>
            <w:hideMark/>
          </w:tcPr>
          <w:p w14:paraId="72006A01"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r>
      <w:tr w:rsidR="001C1740" w:rsidRPr="00FB3B0E" w14:paraId="259A4E3C" w14:textId="77777777" w:rsidTr="00165A46">
        <w:trPr>
          <w:trHeight w:val="1200"/>
          <w:jc w:val="center"/>
        </w:trPr>
        <w:tc>
          <w:tcPr>
            <w:cnfStyle w:val="001000000000" w:firstRow="0" w:lastRow="0" w:firstColumn="1" w:lastColumn="0" w:oddVBand="0" w:evenVBand="0" w:oddHBand="0" w:evenHBand="0" w:firstRowFirstColumn="0" w:firstRowLastColumn="0" w:lastRowFirstColumn="0" w:lastRowLastColumn="0"/>
            <w:tcW w:w="1710" w:type="dxa"/>
            <w:noWrap/>
            <w:hideMark/>
          </w:tcPr>
          <w:p w14:paraId="49AC8E37" w14:textId="77777777" w:rsidR="001E39AF" w:rsidRPr="00FB3B0E" w:rsidRDefault="001E39AF" w:rsidP="001E39AF">
            <w:pPr>
              <w:spacing w:after="0" w:line="240" w:lineRule="auto"/>
              <w:rPr>
                <w:rFonts w:eastAsia="Times New Roman" w:cs="Times New Roman"/>
                <w:color w:val="000000"/>
                <w:sz w:val="22"/>
              </w:rPr>
            </w:pPr>
            <w:r w:rsidRPr="00FB3B0E">
              <w:rPr>
                <w:rFonts w:eastAsia="Times New Roman" w:cs="Times New Roman"/>
                <w:color w:val="000000"/>
                <w:sz w:val="22"/>
              </w:rPr>
              <w:t>Banner</w:t>
            </w:r>
          </w:p>
        </w:tc>
        <w:tc>
          <w:tcPr>
            <w:tcW w:w="6135" w:type="dxa"/>
            <w:gridSpan w:val="2"/>
            <w:hideMark/>
          </w:tcPr>
          <w:p w14:paraId="7BD8AE57" w14:textId="0D9CEB27" w:rsidR="001E39AF" w:rsidRPr="00FB3B0E" w:rsidRDefault="001E39AF" w:rsidP="001E39A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 Notwithstanding the above, using this IS does not constitute consent to PM, LE or CI investigative searching or monitoring of the content of privileged communications, or work product, related to personal representation or services by attorneys, psychotherapists, or clergy, and their assistants</w:t>
            </w:r>
            <w:r w:rsidR="00D85030">
              <w:rPr>
                <w:rFonts w:eastAsia="Times New Roman" w:cs="Times New Roman"/>
                <w:color w:val="000000"/>
                <w:sz w:val="22"/>
              </w:rPr>
              <w:t xml:space="preserve">. </w:t>
            </w:r>
            <w:r w:rsidRPr="00FB3B0E">
              <w:rPr>
                <w:rFonts w:eastAsia="Times New Roman" w:cs="Times New Roman"/>
                <w:color w:val="000000"/>
                <w:sz w:val="22"/>
              </w:rPr>
              <w:t>Such communications and work product are private and confidential</w:t>
            </w:r>
            <w:r w:rsidR="00D85030">
              <w:rPr>
                <w:rFonts w:eastAsia="Times New Roman" w:cs="Times New Roman"/>
                <w:color w:val="000000"/>
                <w:sz w:val="22"/>
              </w:rPr>
              <w:t xml:space="preserve">. </w:t>
            </w:r>
            <w:r w:rsidRPr="00FB3B0E">
              <w:rPr>
                <w:rFonts w:eastAsia="Times New Roman" w:cs="Times New Roman"/>
                <w:color w:val="000000"/>
                <w:sz w:val="22"/>
              </w:rPr>
              <w:t xml:space="preserve">See User Agreement for details. </w:t>
            </w:r>
          </w:p>
        </w:tc>
        <w:tc>
          <w:tcPr>
            <w:tcW w:w="795" w:type="dxa"/>
            <w:noWrap/>
            <w:hideMark/>
          </w:tcPr>
          <w:p w14:paraId="42A5420E"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p>
        </w:tc>
        <w:tc>
          <w:tcPr>
            <w:tcW w:w="450" w:type="dxa"/>
            <w:noWrap/>
            <w:hideMark/>
          </w:tcPr>
          <w:p w14:paraId="58E3F611"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720" w:type="dxa"/>
            <w:noWrap/>
            <w:hideMark/>
          </w:tcPr>
          <w:p w14:paraId="3C63C1FE"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X</w:t>
            </w:r>
          </w:p>
        </w:tc>
        <w:tc>
          <w:tcPr>
            <w:tcW w:w="720" w:type="dxa"/>
            <w:noWrap/>
            <w:hideMark/>
          </w:tcPr>
          <w:p w14:paraId="5A16029E"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p>
        </w:tc>
        <w:tc>
          <w:tcPr>
            <w:tcW w:w="720" w:type="dxa"/>
            <w:noWrap/>
            <w:hideMark/>
          </w:tcPr>
          <w:p w14:paraId="196F3CF8"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900" w:type="dxa"/>
            <w:noWrap/>
            <w:hideMark/>
          </w:tcPr>
          <w:p w14:paraId="5B82BA34"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810" w:type="dxa"/>
            <w:gridSpan w:val="2"/>
            <w:noWrap/>
            <w:hideMark/>
          </w:tcPr>
          <w:p w14:paraId="412E3B00"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r>
      <w:tr w:rsidR="00C37C27" w:rsidRPr="00FB3B0E" w14:paraId="31FCC84C" w14:textId="77777777" w:rsidTr="00165A46">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710" w:type="dxa"/>
            <w:noWrap/>
            <w:hideMark/>
          </w:tcPr>
          <w:p w14:paraId="2BB82878" w14:textId="77777777" w:rsidR="001E39AF" w:rsidRPr="00FB3B0E" w:rsidRDefault="001E39AF" w:rsidP="001E39AF">
            <w:pPr>
              <w:spacing w:after="0" w:line="240" w:lineRule="auto"/>
              <w:rPr>
                <w:rFonts w:eastAsia="Times New Roman" w:cs="Times New Roman"/>
                <w:color w:val="000000"/>
                <w:sz w:val="22"/>
              </w:rPr>
            </w:pPr>
            <w:r w:rsidRPr="00FB3B0E">
              <w:rPr>
                <w:rFonts w:eastAsia="Times New Roman" w:cs="Times New Roman"/>
                <w:color w:val="000000"/>
                <w:sz w:val="22"/>
              </w:rPr>
              <w:t>Banner</w:t>
            </w:r>
          </w:p>
        </w:tc>
        <w:tc>
          <w:tcPr>
            <w:tcW w:w="6135" w:type="dxa"/>
            <w:gridSpan w:val="2"/>
            <w:hideMark/>
          </w:tcPr>
          <w:p w14:paraId="52F540CF" w14:textId="77777777" w:rsidR="001E39AF" w:rsidRPr="00FB3B0E" w:rsidRDefault="001E39AF" w:rsidP="001E39A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OK</w:t>
            </w:r>
          </w:p>
        </w:tc>
        <w:tc>
          <w:tcPr>
            <w:tcW w:w="795" w:type="dxa"/>
            <w:noWrap/>
            <w:hideMark/>
          </w:tcPr>
          <w:p w14:paraId="25C42E67"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p>
        </w:tc>
        <w:tc>
          <w:tcPr>
            <w:tcW w:w="450" w:type="dxa"/>
            <w:noWrap/>
            <w:hideMark/>
          </w:tcPr>
          <w:p w14:paraId="7234D9CA"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720" w:type="dxa"/>
            <w:noWrap/>
            <w:hideMark/>
          </w:tcPr>
          <w:p w14:paraId="7094194F"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X</w:t>
            </w:r>
          </w:p>
        </w:tc>
        <w:tc>
          <w:tcPr>
            <w:tcW w:w="720" w:type="dxa"/>
            <w:noWrap/>
            <w:hideMark/>
          </w:tcPr>
          <w:p w14:paraId="7C9BE082"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p>
        </w:tc>
        <w:tc>
          <w:tcPr>
            <w:tcW w:w="720" w:type="dxa"/>
            <w:noWrap/>
            <w:hideMark/>
          </w:tcPr>
          <w:p w14:paraId="0300E254"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900" w:type="dxa"/>
            <w:noWrap/>
            <w:hideMark/>
          </w:tcPr>
          <w:p w14:paraId="53F750CF"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810" w:type="dxa"/>
            <w:gridSpan w:val="2"/>
            <w:noWrap/>
            <w:hideMark/>
          </w:tcPr>
          <w:p w14:paraId="51E3FA0E"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r>
      <w:tr w:rsidR="001C1740" w:rsidRPr="00FB3B0E" w14:paraId="07FBAC53" w14:textId="77777777" w:rsidTr="00165A46">
        <w:trPr>
          <w:trHeight w:val="494"/>
          <w:jc w:val="center"/>
        </w:trPr>
        <w:tc>
          <w:tcPr>
            <w:cnfStyle w:val="001000000000" w:firstRow="0" w:lastRow="0" w:firstColumn="1" w:lastColumn="0" w:oddVBand="0" w:evenVBand="0" w:oddHBand="0" w:evenHBand="0" w:firstRowFirstColumn="0" w:firstRowLastColumn="0" w:lastRowFirstColumn="0" w:lastRowLastColumn="0"/>
            <w:tcW w:w="1710" w:type="dxa"/>
            <w:noWrap/>
            <w:hideMark/>
          </w:tcPr>
          <w:p w14:paraId="499CE3F3" w14:textId="77777777" w:rsidR="001E39AF" w:rsidRPr="00FB3B0E" w:rsidRDefault="001E39AF" w:rsidP="001E39AF">
            <w:pPr>
              <w:spacing w:after="0" w:line="240" w:lineRule="auto"/>
              <w:rPr>
                <w:rFonts w:eastAsia="Times New Roman" w:cs="Times New Roman"/>
                <w:color w:val="000000"/>
                <w:sz w:val="22"/>
              </w:rPr>
            </w:pPr>
            <w:r w:rsidRPr="00FB3B0E">
              <w:rPr>
                <w:rFonts w:eastAsia="Times New Roman" w:cs="Times New Roman"/>
                <w:color w:val="000000"/>
                <w:sz w:val="22"/>
              </w:rPr>
              <w:t>Banner</w:t>
            </w:r>
          </w:p>
        </w:tc>
        <w:tc>
          <w:tcPr>
            <w:tcW w:w="6135" w:type="dxa"/>
            <w:gridSpan w:val="2"/>
            <w:hideMark/>
          </w:tcPr>
          <w:p w14:paraId="22E1C10A" w14:textId="77777777" w:rsidR="001E39AF" w:rsidRPr="00FB3B0E" w:rsidRDefault="001E39AF" w:rsidP="001E39A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 xml:space="preserve">b. [For Blackberries and other PDAs/PEDs with severe character limitations:] </w:t>
            </w:r>
          </w:p>
        </w:tc>
        <w:tc>
          <w:tcPr>
            <w:tcW w:w="795" w:type="dxa"/>
            <w:noWrap/>
            <w:hideMark/>
          </w:tcPr>
          <w:p w14:paraId="49B7555A"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p>
        </w:tc>
        <w:tc>
          <w:tcPr>
            <w:tcW w:w="450" w:type="dxa"/>
            <w:noWrap/>
            <w:hideMark/>
          </w:tcPr>
          <w:p w14:paraId="19524ACB"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720" w:type="dxa"/>
            <w:noWrap/>
            <w:hideMark/>
          </w:tcPr>
          <w:p w14:paraId="050C1335"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X</w:t>
            </w:r>
          </w:p>
        </w:tc>
        <w:tc>
          <w:tcPr>
            <w:tcW w:w="720" w:type="dxa"/>
            <w:noWrap/>
            <w:hideMark/>
          </w:tcPr>
          <w:p w14:paraId="3B499A57"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p>
        </w:tc>
        <w:tc>
          <w:tcPr>
            <w:tcW w:w="720" w:type="dxa"/>
            <w:noWrap/>
            <w:hideMark/>
          </w:tcPr>
          <w:p w14:paraId="11B2DD64"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900" w:type="dxa"/>
            <w:noWrap/>
            <w:hideMark/>
          </w:tcPr>
          <w:p w14:paraId="15E3FA61"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810" w:type="dxa"/>
            <w:gridSpan w:val="2"/>
            <w:noWrap/>
            <w:hideMark/>
          </w:tcPr>
          <w:p w14:paraId="660925CA"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r>
      <w:tr w:rsidR="00C37C27" w:rsidRPr="00FB3B0E" w14:paraId="280D5890" w14:textId="77777777" w:rsidTr="00165A46">
        <w:trPr>
          <w:cnfStyle w:val="000000100000" w:firstRow="0" w:lastRow="0" w:firstColumn="0" w:lastColumn="0" w:oddVBand="0" w:evenVBand="0" w:oddHBand="1" w:evenHBand="0" w:firstRowFirstColumn="0" w:firstRowLastColumn="0" w:lastRowFirstColumn="0" w:lastRowLastColumn="0"/>
          <w:trHeight w:val="188"/>
          <w:jc w:val="center"/>
        </w:trPr>
        <w:tc>
          <w:tcPr>
            <w:cnfStyle w:val="001000000000" w:firstRow="0" w:lastRow="0" w:firstColumn="1" w:lastColumn="0" w:oddVBand="0" w:evenVBand="0" w:oddHBand="0" w:evenHBand="0" w:firstRowFirstColumn="0" w:firstRowLastColumn="0" w:lastRowFirstColumn="0" w:lastRowLastColumn="0"/>
            <w:tcW w:w="1710" w:type="dxa"/>
            <w:noWrap/>
            <w:hideMark/>
          </w:tcPr>
          <w:p w14:paraId="5D0E9BE1" w14:textId="77777777" w:rsidR="001E39AF" w:rsidRPr="00FB3B0E" w:rsidRDefault="001E39AF" w:rsidP="001E39AF">
            <w:pPr>
              <w:spacing w:after="0" w:line="240" w:lineRule="auto"/>
              <w:rPr>
                <w:rFonts w:eastAsia="Times New Roman" w:cs="Times New Roman"/>
                <w:color w:val="000000"/>
                <w:sz w:val="22"/>
              </w:rPr>
            </w:pPr>
            <w:r w:rsidRPr="00FB3B0E">
              <w:rPr>
                <w:rFonts w:eastAsia="Times New Roman" w:cs="Times New Roman"/>
                <w:color w:val="000000"/>
                <w:sz w:val="22"/>
              </w:rPr>
              <w:t>Banner</w:t>
            </w:r>
          </w:p>
        </w:tc>
        <w:tc>
          <w:tcPr>
            <w:tcW w:w="6135" w:type="dxa"/>
            <w:gridSpan w:val="2"/>
            <w:hideMark/>
          </w:tcPr>
          <w:p w14:paraId="147EFBA1" w14:textId="2792DE6E" w:rsidR="001E39AF" w:rsidRPr="00FB3B0E" w:rsidRDefault="001E39AF" w:rsidP="001E39A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I've read &amp; con</w:t>
            </w:r>
            <w:r w:rsidR="00987AF9" w:rsidRPr="00FB3B0E">
              <w:rPr>
                <w:rFonts w:eastAsia="Times New Roman" w:cs="Times New Roman"/>
                <w:color w:val="000000"/>
                <w:sz w:val="22"/>
              </w:rPr>
              <w:t>sent to terms in IS user agreemen</w:t>
            </w:r>
            <w:r w:rsidRPr="00FB3B0E">
              <w:rPr>
                <w:rFonts w:eastAsia="Times New Roman" w:cs="Times New Roman"/>
                <w:color w:val="000000"/>
                <w:sz w:val="22"/>
              </w:rPr>
              <w:t>t.</w:t>
            </w:r>
          </w:p>
        </w:tc>
        <w:tc>
          <w:tcPr>
            <w:tcW w:w="795" w:type="dxa"/>
            <w:noWrap/>
            <w:hideMark/>
          </w:tcPr>
          <w:p w14:paraId="668810C0"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p>
        </w:tc>
        <w:tc>
          <w:tcPr>
            <w:tcW w:w="450" w:type="dxa"/>
            <w:noWrap/>
            <w:hideMark/>
          </w:tcPr>
          <w:p w14:paraId="0CF7779C"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720" w:type="dxa"/>
            <w:noWrap/>
            <w:hideMark/>
          </w:tcPr>
          <w:p w14:paraId="0CB457B1"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X</w:t>
            </w:r>
          </w:p>
        </w:tc>
        <w:tc>
          <w:tcPr>
            <w:tcW w:w="720" w:type="dxa"/>
            <w:noWrap/>
            <w:hideMark/>
          </w:tcPr>
          <w:p w14:paraId="7D94E7BB"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p>
        </w:tc>
        <w:tc>
          <w:tcPr>
            <w:tcW w:w="720" w:type="dxa"/>
            <w:noWrap/>
            <w:hideMark/>
          </w:tcPr>
          <w:p w14:paraId="548AE73F"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900" w:type="dxa"/>
            <w:noWrap/>
            <w:hideMark/>
          </w:tcPr>
          <w:p w14:paraId="6FD62E88"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810" w:type="dxa"/>
            <w:gridSpan w:val="2"/>
            <w:noWrap/>
            <w:hideMark/>
          </w:tcPr>
          <w:p w14:paraId="06C3FEA9"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r>
      <w:tr w:rsidR="001C1740" w:rsidRPr="00FB3B0E" w14:paraId="2D63F88A" w14:textId="77777777" w:rsidTr="00165A46">
        <w:trPr>
          <w:trHeight w:val="1500"/>
          <w:jc w:val="center"/>
        </w:trPr>
        <w:tc>
          <w:tcPr>
            <w:cnfStyle w:val="001000000000" w:firstRow="0" w:lastRow="0" w:firstColumn="1" w:lastColumn="0" w:oddVBand="0" w:evenVBand="0" w:oddHBand="0" w:evenHBand="0" w:firstRowFirstColumn="0" w:firstRowLastColumn="0" w:lastRowFirstColumn="0" w:lastRowLastColumn="0"/>
            <w:tcW w:w="1710" w:type="dxa"/>
            <w:hideMark/>
          </w:tcPr>
          <w:p w14:paraId="230B4483" w14:textId="77777777" w:rsidR="001E39AF" w:rsidRPr="00FB3B0E" w:rsidRDefault="001E39AF" w:rsidP="001E39AF">
            <w:pPr>
              <w:spacing w:after="0" w:line="240" w:lineRule="auto"/>
              <w:rPr>
                <w:rFonts w:eastAsia="Times New Roman" w:cs="Times New Roman"/>
                <w:color w:val="000000"/>
                <w:sz w:val="22"/>
              </w:rPr>
            </w:pPr>
            <w:r w:rsidRPr="00FB3B0E">
              <w:rPr>
                <w:rFonts w:eastAsia="Times New Roman" w:cs="Times New Roman"/>
                <w:color w:val="000000"/>
                <w:sz w:val="22"/>
              </w:rPr>
              <w:t>Continuous Monitoring</w:t>
            </w:r>
          </w:p>
        </w:tc>
        <w:tc>
          <w:tcPr>
            <w:tcW w:w="6135" w:type="dxa"/>
            <w:gridSpan w:val="2"/>
            <w:hideMark/>
          </w:tcPr>
          <w:p w14:paraId="025011E9" w14:textId="77777777" w:rsidR="001E39AF" w:rsidRPr="00FB3B0E" w:rsidRDefault="001E39AF" w:rsidP="001E39A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The Contractor will provide all reports required to be completed; including self- assessments required by the FedRAMP Continuous Monitoring Strategy Guide to the Agency’s designated security point of contact. In addition, the Government may request additional reports based on data required to be collected by FedRAMP’s continuous monitoring requirements. If requested, the Contractor will provide the report to the Government within 10 business days.</w:t>
            </w:r>
          </w:p>
        </w:tc>
        <w:tc>
          <w:tcPr>
            <w:tcW w:w="795" w:type="dxa"/>
            <w:noWrap/>
            <w:hideMark/>
          </w:tcPr>
          <w:p w14:paraId="54CBD396"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p>
        </w:tc>
        <w:tc>
          <w:tcPr>
            <w:tcW w:w="450" w:type="dxa"/>
            <w:noWrap/>
            <w:hideMark/>
          </w:tcPr>
          <w:p w14:paraId="2A810753"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720" w:type="dxa"/>
            <w:noWrap/>
            <w:hideMark/>
          </w:tcPr>
          <w:p w14:paraId="3302BFDD"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X</w:t>
            </w:r>
          </w:p>
        </w:tc>
        <w:tc>
          <w:tcPr>
            <w:tcW w:w="720" w:type="dxa"/>
            <w:noWrap/>
            <w:hideMark/>
          </w:tcPr>
          <w:p w14:paraId="0B874A6B"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p>
        </w:tc>
        <w:tc>
          <w:tcPr>
            <w:tcW w:w="720" w:type="dxa"/>
            <w:noWrap/>
            <w:hideMark/>
          </w:tcPr>
          <w:p w14:paraId="603EA923"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900" w:type="dxa"/>
            <w:noWrap/>
            <w:hideMark/>
          </w:tcPr>
          <w:p w14:paraId="5EEB7B61"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x</w:t>
            </w:r>
          </w:p>
        </w:tc>
        <w:tc>
          <w:tcPr>
            <w:tcW w:w="810" w:type="dxa"/>
            <w:gridSpan w:val="2"/>
            <w:noWrap/>
            <w:hideMark/>
          </w:tcPr>
          <w:p w14:paraId="0AE92603"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p>
        </w:tc>
      </w:tr>
      <w:tr w:rsidR="00C37C27" w:rsidRPr="00FB3B0E" w14:paraId="5AE76E5F" w14:textId="77777777" w:rsidTr="00165A46">
        <w:trPr>
          <w:cnfStyle w:val="000000100000" w:firstRow="0" w:lastRow="0" w:firstColumn="0" w:lastColumn="0" w:oddVBand="0" w:evenVBand="0" w:oddHBand="1" w:evenHBand="0" w:firstRowFirstColumn="0" w:firstRowLastColumn="0" w:lastRowFirstColumn="0" w:lastRowLastColumn="0"/>
          <w:trHeight w:val="791"/>
          <w:jc w:val="center"/>
        </w:trPr>
        <w:tc>
          <w:tcPr>
            <w:cnfStyle w:val="001000000000" w:firstRow="0" w:lastRow="0" w:firstColumn="1" w:lastColumn="0" w:oddVBand="0" w:evenVBand="0" w:oddHBand="0" w:evenHBand="0" w:firstRowFirstColumn="0" w:firstRowLastColumn="0" w:lastRowFirstColumn="0" w:lastRowLastColumn="0"/>
            <w:tcW w:w="1710" w:type="dxa"/>
            <w:noWrap/>
            <w:hideMark/>
          </w:tcPr>
          <w:p w14:paraId="6F42897E" w14:textId="77777777" w:rsidR="001E39AF" w:rsidRPr="00FB3B0E" w:rsidRDefault="001E39AF" w:rsidP="001E39AF">
            <w:pPr>
              <w:spacing w:after="0" w:line="240" w:lineRule="auto"/>
              <w:rPr>
                <w:rFonts w:eastAsia="Times New Roman" w:cs="Times New Roman"/>
                <w:color w:val="000000"/>
                <w:sz w:val="22"/>
              </w:rPr>
            </w:pPr>
            <w:r w:rsidRPr="00FB3B0E">
              <w:rPr>
                <w:rFonts w:eastAsia="Times New Roman" w:cs="Times New Roman"/>
                <w:color w:val="000000"/>
                <w:sz w:val="22"/>
              </w:rPr>
              <w:t xml:space="preserve">Cybersecurity Compliance </w:t>
            </w:r>
          </w:p>
        </w:tc>
        <w:tc>
          <w:tcPr>
            <w:tcW w:w="6135" w:type="dxa"/>
            <w:gridSpan w:val="2"/>
            <w:hideMark/>
          </w:tcPr>
          <w:p w14:paraId="66A18BED" w14:textId="10852A20" w:rsidR="001E39AF" w:rsidRPr="00FB3B0E" w:rsidRDefault="001E39AF" w:rsidP="001E39A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The Contractor will ensure that its environment is compliant with the control standards of FISMA (Federal Information Security Management Act) 44 U.S.C. § 3541, et seq.) , NIST standards in FIPS 140-2, FIPS 180, FIPS 198-1, FIPS 199, FIPS 200, FIPS 201 and NIST Special Publications 800-53, 800-59, and 800-60 and with agency management directive DODI 8500.1</w:t>
            </w:r>
            <w:r w:rsidR="00D85030">
              <w:rPr>
                <w:rFonts w:eastAsia="Times New Roman" w:cs="Times New Roman"/>
                <w:color w:val="000000"/>
                <w:sz w:val="22"/>
              </w:rPr>
              <w:t xml:space="preserve">. </w:t>
            </w:r>
            <w:r w:rsidRPr="00FB3B0E">
              <w:rPr>
                <w:rFonts w:eastAsia="Times New Roman" w:cs="Times New Roman"/>
                <w:color w:val="000000"/>
                <w:sz w:val="22"/>
              </w:rPr>
              <w:t>In addition the Contractor must provide the Government with any documentation it requires for its reporting requirements within 10 days of a request.</w:t>
            </w:r>
          </w:p>
        </w:tc>
        <w:tc>
          <w:tcPr>
            <w:tcW w:w="795" w:type="dxa"/>
            <w:noWrap/>
            <w:hideMark/>
          </w:tcPr>
          <w:p w14:paraId="5E81E554"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p>
        </w:tc>
        <w:tc>
          <w:tcPr>
            <w:tcW w:w="450" w:type="dxa"/>
            <w:noWrap/>
            <w:hideMark/>
          </w:tcPr>
          <w:p w14:paraId="3847A660"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720" w:type="dxa"/>
            <w:noWrap/>
            <w:hideMark/>
          </w:tcPr>
          <w:p w14:paraId="2FC68911"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X</w:t>
            </w:r>
          </w:p>
        </w:tc>
        <w:tc>
          <w:tcPr>
            <w:tcW w:w="720" w:type="dxa"/>
            <w:noWrap/>
            <w:hideMark/>
          </w:tcPr>
          <w:p w14:paraId="6E8522FF"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p>
        </w:tc>
        <w:tc>
          <w:tcPr>
            <w:tcW w:w="720" w:type="dxa"/>
            <w:noWrap/>
            <w:hideMark/>
          </w:tcPr>
          <w:p w14:paraId="049C77F7"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900" w:type="dxa"/>
            <w:noWrap/>
            <w:hideMark/>
          </w:tcPr>
          <w:p w14:paraId="01B304CB"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810" w:type="dxa"/>
            <w:gridSpan w:val="2"/>
            <w:noWrap/>
            <w:hideMark/>
          </w:tcPr>
          <w:p w14:paraId="4BCB8CDA"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r>
      <w:tr w:rsidR="001C1740" w:rsidRPr="00FB3B0E" w14:paraId="3207ECCA" w14:textId="77777777" w:rsidTr="00165A46">
        <w:trPr>
          <w:trHeight w:val="1500"/>
          <w:jc w:val="center"/>
        </w:trPr>
        <w:tc>
          <w:tcPr>
            <w:cnfStyle w:val="001000000000" w:firstRow="0" w:lastRow="0" w:firstColumn="1" w:lastColumn="0" w:oddVBand="0" w:evenVBand="0" w:oddHBand="0" w:evenHBand="0" w:firstRowFirstColumn="0" w:firstRowLastColumn="0" w:lastRowFirstColumn="0" w:lastRowLastColumn="0"/>
            <w:tcW w:w="1710" w:type="dxa"/>
            <w:noWrap/>
            <w:hideMark/>
          </w:tcPr>
          <w:p w14:paraId="7B8227EC" w14:textId="77777777" w:rsidR="001E39AF" w:rsidRPr="00FB3B0E" w:rsidRDefault="001E39AF" w:rsidP="001E39AF">
            <w:pPr>
              <w:spacing w:after="0" w:line="240" w:lineRule="auto"/>
              <w:rPr>
                <w:rFonts w:eastAsia="Times New Roman" w:cs="Times New Roman"/>
                <w:color w:val="000000"/>
                <w:sz w:val="22"/>
              </w:rPr>
            </w:pPr>
            <w:r w:rsidRPr="00FB3B0E">
              <w:rPr>
                <w:rFonts w:eastAsia="Times New Roman" w:cs="Times New Roman"/>
                <w:color w:val="000000"/>
                <w:sz w:val="22"/>
              </w:rPr>
              <w:t xml:space="preserve">Cybersecurity Compliance </w:t>
            </w:r>
          </w:p>
        </w:tc>
        <w:tc>
          <w:tcPr>
            <w:tcW w:w="6135" w:type="dxa"/>
            <w:gridSpan w:val="2"/>
            <w:hideMark/>
          </w:tcPr>
          <w:p w14:paraId="4B427AC6" w14:textId="77777777" w:rsidR="001E39AF" w:rsidRPr="00FB3B0E" w:rsidRDefault="001E39AF" w:rsidP="001E39A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The Contractor will ensure that the cloud environment fully complies or exceeds the security requirements for level ___in the DoD Cloud Security Model SRG. The Contractor will make the environment accessible for a DoD security team to evaluate the environment prior to the placement of any DoD data in the environment and allow for periodical security reviews of the environment during the performance of this contract.</w:t>
            </w:r>
          </w:p>
        </w:tc>
        <w:tc>
          <w:tcPr>
            <w:tcW w:w="795" w:type="dxa"/>
            <w:noWrap/>
            <w:hideMark/>
          </w:tcPr>
          <w:p w14:paraId="506CE973"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p>
        </w:tc>
        <w:tc>
          <w:tcPr>
            <w:tcW w:w="450" w:type="dxa"/>
            <w:noWrap/>
            <w:hideMark/>
          </w:tcPr>
          <w:p w14:paraId="7D44D3B7"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X</w:t>
            </w:r>
          </w:p>
        </w:tc>
        <w:tc>
          <w:tcPr>
            <w:tcW w:w="720" w:type="dxa"/>
            <w:noWrap/>
            <w:hideMark/>
          </w:tcPr>
          <w:p w14:paraId="547B05BF"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p>
        </w:tc>
        <w:tc>
          <w:tcPr>
            <w:tcW w:w="720" w:type="dxa"/>
            <w:noWrap/>
            <w:hideMark/>
          </w:tcPr>
          <w:p w14:paraId="0E984A61"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720" w:type="dxa"/>
            <w:noWrap/>
            <w:hideMark/>
          </w:tcPr>
          <w:p w14:paraId="036A247D"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900" w:type="dxa"/>
            <w:noWrap/>
            <w:hideMark/>
          </w:tcPr>
          <w:p w14:paraId="1A067A32"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810" w:type="dxa"/>
            <w:gridSpan w:val="2"/>
            <w:noWrap/>
            <w:hideMark/>
          </w:tcPr>
          <w:p w14:paraId="058A9F24"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r>
      <w:tr w:rsidR="00C37C27" w:rsidRPr="00FB3B0E" w14:paraId="38C5C66A" w14:textId="77777777" w:rsidTr="00165A46">
        <w:trPr>
          <w:cnfStyle w:val="000000100000" w:firstRow="0" w:lastRow="0" w:firstColumn="0" w:lastColumn="0" w:oddVBand="0" w:evenVBand="0" w:oddHBand="1" w:evenHBand="0" w:firstRowFirstColumn="0" w:firstRowLastColumn="0" w:lastRowFirstColumn="0" w:lastRowLastColumn="0"/>
          <w:trHeight w:val="77"/>
          <w:jc w:val="center"/>
        </w:trPr>
        <w:tc>
          <w:tcPr>
            <w:cnfStyle w:val="001000000000" w:firstRow="0" w:lastRow="0" w:firstColumn="1" w:lastColumn="0" w:oddVBand="0" w:evenVBand="0" w:oddHBand="0" w:evenHBand="0" w:firstRowFirstColumn="0" w:firstRowLastColumn="0" w:lastRowFirstColumn="0" w:lastRowLastColumn="0"/>
            <w:tcW w:w="1710" w:type="dxa"/>
            <w:hideMark/>
          </w:tcPr>
          <w:p w14:paraId="7513CA83" w14:textId="77777777" w:rsidR="001E39AF" w:rsidRPr="00FB3B0E" w:rsidRDefault="001E39AF" w:rsidP="001E39AF">
            <w:pPr>
              <w:spacing w:after="0" w:line="240" w:lineRule="auto"/>
              <w:rPr>
                <w:rFonts w:eastAsia="Times New Roman" w:cs="Times New Roman"/>
                <w:color w:val="000000"/>
                <w:sz w:val="22"/>
              </w:rPr>
            </w:pPr>
            <w:r w:rsidRPr="00FB3B0E">
              <w:rPr>
                <w:rFonts w:eastAsia="Times New Roman" w:cs="Times New Roman"/>
                <w:color w:val="000000"/>
                <w:sz w:val="22"/>
              </w:rPr>
              <w:t xml:space="preserve">Data Breach and Incident Reporting/PIA </w:t>
            </w:r>
          </w:p>
        </w:tc>
        <w:tc>
          <w:tcPr>
            <w:tcW w:w="6135" w:type="dxa"/>
            <w:gridSpan w:val="2"/>
            <w:hideMark/>
          </w:tcPr>
          <w:p w14:paraId="134CE839" w14:textId="77777777" w:rsidR="001E39AF" w:rsidRPr="00FB3B0E" w:rsidRDefault="001E39AF" w:rsidP="001E39A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 xml:space="preserve">DFAR 252.239.700x </w:t>
            </w:r>
          </w:p>
        </w:tc>
        <w:tc>
          <w:tcPr>
            <w:tcW w:w="795" w:type="dxa"/>
            <w:noWrap/>
            <w:hideMark/>
          </w:tcPr>
          <w:p w14:paraId="08758417"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p>
        </w:tc>
        <w:tc>
          <w:tcPr>
            <w:tcW w:w="450" w:type="dxa"/>
            <w:noWrap/>
            <w:hideMark/>
          </w:tcPr>
          <w:p w14:paraId="1F590E5F"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X</w:t>
            </w:r>
          </w:p>
        </w:tc>
        <w:tc>
          <w:tcPr>
            <w:tcW w:w="720" w:type="dxa"/>
            <w:noWrap/>
            <w:hideMark/>
          </w:tcPr>
          <w:p w14:paraId="368905D7"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p>
        </w:tc>
        <w:tc>
          <w:tcPr>
            <w:tcW w:w="720" w:type="dxa"/>
            <w:noWrap/>
            <w:hideMark/>
          </w:tcPr>
          <w:p w14:paraId="41B1CCD7"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720" w:type="dxa"/>
            <w:noWrap/>
            <w:hideMark/>
          </w:tcPr>
          <w:p w14:paraId="5D0C35BC"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900" w:type="dxa"/>
            <w:noWrap/>
            <w:hideMark/>
          </w:tcPr>
          <w:p w14:paraId="38766123"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810" w:type="dxa"/>
            <w:gridSpan w:val="2"/>
            <w:noWrap/>
            <w:hideMark/>
          </w:tcPr>
          <w:p w14:paraId="30794E83"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r>
      <w:tr w:rsidR="001C1740" w:rsidRPr="00FB3B0E" w14:paraId="6B06566B" w14:textId="77777777" w:rsidTr="00165A46">
        <w:trPr>
          <w:trHeight w:val="413"/>
          <w:jc w:val="center"/>
        </w:trPr>
        <w:tc>
          <w:tcPr>
            <w:cnfStyle w:val="001000000000" w:firstRow="0" w:lastRow="0" w:firstColumn="1" w:lastColumn="0" w:oddVBand="0" w:evenVBand="0" w:oddHBand="0" w:evenHBand="0" w:firstRowFirstColumn="0" w:firstRowLastColumn="0" w:lastRowFirstColumn="0" w:lastRowLastColumn="0"/>
            <w:tcW w:w="1710" w:type="dxa"/>
            <w:hideMark/>
          </w:tcPr>
          <w:p w14:paraId="1659ADA6" w14:textId="77777777" w:rsidR="001E39AF" w:rsidRPr="00FB3B0E" w:rsidRDefault="001E39AF" w:rsidP="001E39AF">
            <w:pPr>
              <w:spacing w:after="0" w:line="240" w:lineRule="auto"/>
              <w:rPr>
                <w:rFonts w:eastAsia="Times New Roman" w:cs="Times New Roman"/>
                <w:color w:val="000000"/>
                <w:sz w:val="22"/>
              </w:rPr>
            </w:pPr>
            <w:r w:rsidRPr="00FB3B0E">
              <w:rPr>
                <w:rFonts w:eastAsia="Times New Roman" w:cs="Times New Roman"/>
                <w:color w:val="000000"/>
                <w:sz w:val="22"/>
              </w:rPr>
              <w:t xml:space="preserve">Data Breach and Incident Reporting/PIA </w:t>
            </w:r>
          </w:p>
        </w:tc>
        <w:tc>
          <w:tcPr>
            <w:tcW w:w="6135" w:type="dxa"/>
            <w:gridSpan w:val="2"/>
            <w:hideMark/>
          </w:tcPr>
          <w:p w14:paraId="09676451" w14:textId="28572E4D" w:rsidR="001E39AF" w:rsidRPr="00FB3B0E" w:rsidRDefault="001E39AF" w:rsidP="001E39A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The Contractor shall adopt and maintain administrative, technical, and physical safeguards and controls to protect and remedy data breaches, if any, of Government data. The Contractor will submit reports of cyber incidents through approved reporting mechanisms, as specified in CJCSM 6510.01B, Enclosure C, Section 4. The Contractor’s existing notification mechanisms that are already in place to communicate between the Contractor and its customers for some or all classes of CND information may be used, as long as those mechanisms demonstrate a level of assurance, equivalent to the listed encrypted mechanisms, for the confidentiality and integrity of the information</w:t>
            </w:r>
            <w:r w:rsidR="00D85030">
              <w:rPr>
                <w:rFonts w:eastAsia="Times New Roman" w:cs="Times New Roman"/>
                <w:color w:val="000000"/>
                <w:sz w:val="22"/>
              </w:rPr>
              <w:t xml:space="preserve">. </w:t>
            </w:r>
          </w:p>
        </w:tc>
        <w:tc>
          <w:tcPr>
            <w:tcW w:w="795" w:type="dxa"/>
            <w:noWrap/>
            <w:hideMark/>
          </w:tcPr>
          <w:p w14:paraId="5E8034F1"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p>
        </w:tc>
        <w:tc>
          <w:tcPr>
            <w:tcW w:w="450" w:type="dxa"/>
            <w:noWrap/>
            <w:hideMark/>
          </w:tcPr>
          <w:p w14:paraId="777BE042"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X</w:t>
            </w:r>
          </w:p>
        </w:tc>
        <w:tc>
          <w:tcPr>
            <w:tcW w:w="720" w:type="dxa"/>
            <w:noWrap/>
            <w:hideMark/>
          </w:tcPr>
          <w:p w14:paraId="66573497"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p>
        </w:tc>
        <w:tc>
          <w:tcPr>
            <w:tcW w:w="720" w:type="dxa"/>
            <w:noWrap/>
            <w:hideMark/>
          </w:tcPr>
          <w:p w14:paraId="3A89855C"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720" w:type="dxa"/>
            <w:noWrap/>
            <w:hideMark/>
          </w:tcPr>
          <w:p w14:paraId="48CDE19B"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900" w:type="dxa"/>
            <w:noWrap/>
            <w:hideMark/>
          </w:tcPr>
          <w:p w14:paraId="1D54C037"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x</w:t>
            </w:r>
          </w:p>
        </w:tc>
        <w:tc>
          <w:tcPr>
            <w:tcW w:w="810" w:type="dxa"/>
            <w:gridSpan w:val="2"/>
            <w:noWrap/>
            <w:hideMark/>
          </w:tcPr>
          <w:p w14:paraId="575ECDB4"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p>
        </w:tc>
      </w:tr>
      <w:tr w:rsidR="00C37C27" w:rsidRPr="00FB3B0E" w14:paraId="7BAD5163" w14:textId="77777777" w:rsidTr="00165A46">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1710" w:type="dxa"/>
            <w:hideMark/>
          </w:tcPr>
          <w:p w14:paraId="6D2E3384" w14:textId="77777777" w:rsidR="001E39AF" w:rsidRPr="00FB3B0E" w:rsidRDefault="001E39AF" w:rsidP="001E39AF">
            <w:pPr>
              <w:spacing w:after="0" w:line="240" w:lineRule="auto"/>
              <w:rPr>
                <w:rFonts w:eastAsia="Times New Roman" w:cs="Times New Roman"/>
                <w:color w:val="000000"/>
                <w:sz w:val="22"/>
              </w:rPr>
            </w:pPr>
            <w:r w:rsidRPr="00FB3B0E">
              <w:rPr>
                <w:rFonts w:eastAsia="Times New Roman" w:cs="Times New Roman"/>
                <w:color w:val="000000"/>
                <w:sz w:val="22"/>
              </w:rPr>
              <w:t xml:space="preserve">Data Breach and Incident Reporting/PIA </w:t>
            </w:r>
          </w:p>
        </w:tc>
        <w:tc>
          <w:tcPr>
            <w:tcW w:w="6135" w:type="dxa"/>
            <w:gridSpan w:val="2"/>
            <w:hideMark/>
          </w:tcPr>
          <w:p w14:paraId="207B377B" w14:textId="77777777" w:rsidR="001E39AF" w:rsidRPr="00FB3B0E" w:rsidRDefault="001E39AF" w:rsidP="001E39A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 xml:space="preserve">The Contractor will apply the template format specified in CJCSM 6510.01B, Appendix B to Enclosure C, Section 1 – General Cyber Incident Report Format when reporting initial incidents by secure fax, telephonically, or by other electronic means. Initial reports may be incomplete. Reporting should balance the necessity of timely reporting (reports with critical information) versus complete reports (those with all blocks completed). Timely reporting is vital, and complete information should follow as details emerge. </w:t>
            </w:r>
          </w:p>
        </w:tc>
        <w:tc>
          <w:tcPr>
            <w:tcW w:w="795" w:type="dxa"/>
            <w:noWrap/>
            <w:hideMark/>
          </w:tcPr>
          <w:p w14:paraId="320C2C25"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p>
        </w:tc>
        <w:tc>
          <w:tcPr>
            <w:tcW w:w="450" w:type="dxa"/>
            <w:noWrap/>
            <w:hideMark/>
          </w:tcPr>
          <w:p w14:paraId="180665B4"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X</w:t>
            </w:r>
          </w:p>
        </w:tc>
        <w:tc>
          <w:tcPr>
            <w:tcW w:w="720" w:type="dxa"/>
            <w:noWrap/>
            <w:hideMark/>
          </w:tcPr>
          <w:p w14:paraId="48787133"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p>
        </w:tc>
        <w:tc>
          <w:tcPr>
            <w:tcW w:w="720" w:type="dxa"/>
            <w:noWrap/>
            <w:hideMark/>
          </w:tcPr>
          <w:p w14:paraId="4F9B7DF4"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720" w:type="dxa"/>
            <w:noWrap/>
            <w:hideMark/>
          </w:tcPr>
          <w:p w14:paraId="1B3BDDF9"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900" w:type="dxa"/>
            <w:noWrap/>
            <w:hideMark/>
          </w:tcPr>
          <w:p w14:paraId="62BF553F"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810" w:type="dxa"/>
            <w:gridSpan w:val="2"/>
            <w:noWrap/>
            <w:hideMark/>
          </w:tcPr>
          <w:p w14:paraId="61365024"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r>
      <w:tr w:rsidR="001C1740" w:rsidRPr="00FB3B0E" w14:paraId="1725193A" w14:textId="77777777" w:rsidTr="00165A46">
        <w:trPr>
          <w:trHeight w:val="350"/>
          <w:jc w:val="center"/>
        </w:trPr>
        <w:tc>
          <w:tcPr>
            <w:cnfStyle w:val="001000000000" w:firstRow="0" w:lastRow="0" w:firstColumn="1" w:lastColumn="0" w:oddVBand="0" w:evenVBand="0" w:oddHBand="0" w:evenHBand="0" w:firstRowFirstColumn="0" w:firstRowLastColumn="0" w:lastRowFirstColumn="0" w:lastRowLastColumn="0"/>
            <w:tcW w:w="1710" w:type="dxa"/>
            <w:hideMark/>
          </w:tcPr>
          <w:p w14:paraId="43183AC6" w14:textId="77777777" w:rsidR="001E39AF" w:rsidRPr="00FB3B0E" w:rsidRDefault="001E39AF" w:rsidP="001E39AF">
            <w:pPr>
              <w:spacing w:after="0" w:line="240" w:lineRule="auto"/>
              <w:rPr>
                <w:rFonts w:eastAsia="Times New Roman" w:cs="Times New Roman"/>
                <w:color w:val="000000"/>
                <w:sz w:val="22"/>
              </w:rPr>
            </w:pPr>
            <w:r w:rsidRPr="00FB3B0E">
              <w:rPr>
                <w:rFonts w:eastAsia="Times New Roman" w:cs="Times New Roman"/>
                <w:color w:val="000000"/>
                <w:sz w:val="22"/>
              </w:rPr>
              <w:t xml:space="preserve">Data Breach and Incident Reporting/PIA </w:t>
            </w:r>
          </w:p>
        </w:tc>
        <w:tc>
          <w:tcPr>
            <w:tcW w:w="6135" w:type="dxa"/>
            <w:gridSpan w:val="2"/>
            <w:hideMark/>
          </w:tcPr>
          <w:p w14:paraId="1393A8DB" w14:textId="77777777" w:rsidR="001E39AF" w:rsidRPr="00FB3B0E" w:rsidRDefault="001E39AF" w:rsidP="001E39A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In addition to the above, if the incident concerns a breach of PII or a potential breach of PII, the Contractor will report to the contracting officer’s designee within 60 minutes of the discovery of any data breach. The Contractor shall provide the Government with all information and cooperation necessary to enable compliance by the Contractor and/or the Government with data breach reporting and mitigation actions required by applicable law, regulation, policy, and this contract.</w:t>
            </w:r>
          </w:p>
        </w:tc>
        <w:tc>
          <w:tcPr>
            <w:tcW w:w="795" w:type="dxa"/>
            <w:noWrap/>
            <w:hideMark/>
          </w:tcPr>
          <w:p w14:paraId="22C194C1"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p>
        </w:tc>
        <w:tc>
          <w:tcPr>
            <w:tcW w:w="450" w:type="dxa"/>
            <w:noWrap/>
            <w:hideMark/>
          </w:tcPr>
          <w:p w14:paraId="7774769E"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X</w:t>
            </w:r>
          </w:p>
        </w:tc>
        <w:tc>
          <w:tcPr>
            <w:tcW w:w="720" w:type="dxa"/>
            <w:noWrap/>
            <w:hideMark/>
          </w:tcPr>
          <w:p w14:paraId="49F788AE"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p>
        </w:tc>
        <w:tc>
          <w:tcPr>
            <w:tcW w:w="720" w:type="dxa"/>
            <w:noWrap/>
            <w:hideMark/>
          </w:tcPr>
          <w:p w14:paraId="384349A9"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720" w:type="dxa"/>
            <w:noWrap/>
            <w:hideMark/>
          </w:tcPr>
          <w:p w14:paraId="086DB90E"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900" w:type="dxa"/>
            <w:noWrap/>
            <w:hideMark/>
          </w:tcPr>
          <w:p w14:paraId="74610DB2"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810" w:type="dxa"/>
            <w:gridSpan w:val="2"/>
            <w:noWrap/>
            <w:hideMark/>
          </w:tcPr>
          <w:p w14:paraId="4A576E09"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r>
      <w:tr w:rsidR="00C37C27" w:rsidRPr="00FB3B0E" w14:paraId="17010606" w14:textId="77777777" w:rsidTr="00165A46">
        <w:trPr>
          <w:cnfStyle w:val="000000100000" w:firstRow="0" w:lastRow="0" w:firstColumn="0" w:lastColumn="0" w:oddVBand="0" w:evenVBand="0" w:oddHBand="1" w:evenHBand="0" w:firstRowFirstColumn="0" w:firstRowLastColumn="0" w:lastRowFirstColumn="0" w:lastRowLastColumn="0"/>
          <w:trHeight w:val="1800"/>
          <w:jc w:val="center"/>
        </w:trPr>
        <w:tc>
          <w:tcPr>
            <w:cnfStyle w:val="001000000000" w:firstRow="0" w:lastRow="0" w:firstColumn="1" w:lastColumn="0" w:oddVBand="0" w:evenVBand="0" w:oddHBand="0" w:evenHBand="0" w:firstRowFirstColumn="0" w:firstRowLastColumn="0" w:lastRowFirstColumn="0" w:lastRowLastColumn="0"/>
            <w:tcW w:w="1710" w:type="dxa"/>
            <w:noWrap/>
            <w:hideMark/>
          </w:tcPr>
          <w:p w14:paraId="05458444" w14:textId="77777777" w:rsidR="001E39AF" w:rsidRPr="00FB3B0E" w:rsidRDefault="001E39AF" w:rsidP="001E39AF">
            <w:pPr>
              <w:spacing w:after="0" w:line="240" w:lineRule="auto"/>
              <w:rPr>
                <w:rFonts w:eastAsia="Times New Roman" w:cs="Times New Roman"/>
                <w:color w:val="000000"/>
                <w:sz w:val="22"/>
              </w:rPr>
            </w:pPr>
            <w:r w:rsidRPr="00FB3B0E">
              <w:rPr>
                <w:rFonts w:eastAsia="Times New Roman" w:cs="Times New Roman"/>
                <w:color w:val="000000"/>
                <w:sz w:val="22"/>
              </w:rPr>
              <w:t>Facility Inspections</w:t>
            </w:r>
          </w:p>
        </w:tc>
        <w:tc>
          <w:tcPr>
            <w:tcW w:w="6135" w:type="dxa"/>
            <w:gridSpan w:val="2"/>
            <w:hideMark/>
          </w:tcPr>
          <w:p w14:paraId="56EFCF09" w14:textId="68466A3B" w:rsidR="001E39AF" w:rsidRPr="00FB3B0E" w:rsidRDefault="001E39AF" w:rsidP="001E39A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The Contractor agrees to have an independent third party or other industry recognized firm, which has been approved by the Government conduct a security audit based on the Government’s criteria at least once a year. The audit results and Contractor's plan for addressing or resolving of the audit results shall be shared with the Government within 20 days of the Contractor's receipt of the audit results</w:t>
            </w:r>
            <w:r w:rsidR="00D85030">
              <w:rPr>
                <w:rFonts w:eastAsia="Times New Roman" w:cs="Times New Roman"/>
                <w:color w:val="000000"/>
                <w:sz w:val="22"/>
              </w:rPr>
              <w:t xml:space="preserve">. </w:t>
            </w:r>
            <w:r w:rsidRPr="00FB3B0E">
              <w:rPr>
                <w:rFonts w:eastAsia="Times New Roman" w:cs="Times New Roman"/>
                <w:color w:val="000000"/>
                <w:sz w:val="22"/>
              </w:rPr>
              <w:t>In addition, the Government reserves the right to inspect the facility to conduct its own audit or investigation.</w:t>
            </w:r>
          </w:p>
        </w:tc>
        <w:tc>
          <w:tcPr>
            <w:tcW w:w="795" w:type="dxa"/>
            <w:noWrap/>
            <w:hideMark/>
          </w:tcPr>
          <w:p w14:paraId="48E67E29"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p>
        </w:tc>
        <w:tc>
          <w:tcPr>
            <w:tcW w:w="450" w:type="dxa"/>
            <w:noWrap/>
            <w:hideMark/>
          </w:tcPr>
          <w:p w14:paraId="4D82C854"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X</w:t>
            </w:r>
          </w:p>
        </w:tc>
        <w:tc>
          <w:tcPr>
            <w:tcW w:w="720" w:type="dxa"/>
            <w:noWrap/>
            <w:hideMark/>
          </w:tcPr>
          <w:p w14:paraId="2D4C2BC3"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X</w:t>
            </w:r>
          </w:p>
        </w:tc>
        <w:tc>
          <w:tcPr>
            <w:tcW w:w="720" w:type="dxa"/>
            <w:noWrap/>
            <w:hideMark/>
          </w:tcPr>
          <w:p w14:paraId="5E37AB3C"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p>
        </w:tc>
        <w:tc>
          <w:tcPr>
            <w:tcW w:w="720" w:type="dxa"/>
            <w:noWrap/>
            <w:hideMark/>
          </w:tcPr>
          <w:p w14:paraId="18B0FD02"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900" w:type="dxa"/>
            <w:noWrap/>
            <w:hideMark/>
          </w:tcPr>
          <w:p w14:paraId="58E6F1E5"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810" w:type="dxa"/>
            <w:gridSpan w:val="2"/>
            <w:noWrap/>
            <w:hideMark/>
          </w:tcPr>
          <w:p w14:paraId="2EDAB290"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r>
      <w:tr w:rsidR="001C1740" w:rsidRPr="00FB3B0E" w14:paraId="7FA3F437" w14:textId="77777777" w:rsidTr="00165A46">
        <w:trPr>
          <w:trHeight w:val="600"/>
          <w:jc w:val="center"/>
        </w:trPr>
        <w:tc>
          <w:tcPr>
            <w:cnfStyle w:val="001000000000" w:firstRow="0" w:lastRow="0" w:firstColumn="1" w:lastColumn="0" w:oddVBand="0" w:evenVBand="0" w:oddHBand="0" w:evenHBand="0" w:firstRowFirstColumn="0" w:firstRowLastColumn="0" w:lastRowFirstColumn="0" w:lastRowLastColumn="0"/>
            <w:tcW w:w="1710" w:type="dxa"/>
            <w:noWrap/>
            <w:hideMark/>
          </w:tcPr>
          <w:p w14:paraId="1D50C124" w14:textId="77777777" w:rsidR="001E39AF" w:rsidRPr="00FB3B0E" w:rsidRDefault="001E39AF" w:rsidP="001E39AF">
            <w:pPr>
              <w:spacing w:after="0" w:line="240" w:lineRule="auto"/>
              <w:rPr>
                <w:rFonts w:eastAsia="Times New Roman" w:cs="Times New Roman"/>
                <w:color w:val="000000"/>
                <w:sz w:val="22"/>
              </w:rPr>
            </w:pPr>
            <w:r w:rsidRPr="00FB3B0E">
              <w:rPr>
                <w:rFonts w:eastAsia="Times New Roman" w:cs="Times New Roman"/>
                <w:color w:val="000000"/>
                <w:sz w:val="22"/>
              </w:rPr>
              <w:t>Indemnification</w:t>
            </w:r>
          </w:p>
        </w:tc>
        <w:tc>
          <w:tcPr>
            <w:tcW w:w="6135" w:type="dxa"/>
            <w:gridSpan w:val="2"/>
            <w:hideMark/>
          </w:tcPr>
          <w:p w14:paraId="3E0E34F4" w14:textId="1EAC94DE" w:rsidR="001E39AF" w:rsidRPr="00FB3B0E" w:rsidRDefault="001E39AF" w:rsidP="001E39A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(1) The Contractor shall indemnify the Government and its officers, agents, and employees acting for the Government against any liability arising out of the performance of this contract, including costs and expenses, incurred as the result of the Contractor’s unauthorized introduction of copyrighted material, information subject to a right of privacy, and any libelous or other unlawful matter into Government data. The Contractor agrees to waive any and all defenses that may be asserted for its benefit, including (without limitation) the Government Contractors Defense</w:t>
            </w:r>
            <w:r w:rsidR="00D85030">
              <w:rPr>
                <w:rFonts w:eastAsia="Times New Roman" w:cs="Times New Roman"/>
                <w:color w:val="000000"/>
                <w:sz w:val="22"/>
              </w:rPr>
              <w:t xml:space="preserve">. </w:t>
            </w:r>
          </w:p>
        </w:tc>
        <w:tc>
          <w:tcPr>
            <w:tcW w:w="795" w:type="dxa"/>
            <w:noWrap/>
            <w:hideMark/>
          </w:tcPr>
          <w:p w14:paraId="42125B4B"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p>
        </w:tc>
        <w:tc>
          <w:tcPr>
            <w:tcW w:w="450" w:type="dxa"/>
            <w:noWrap/>
            <w:hideMark/>
          </w:tcPr>
          <w:p w14:paraId="5545203D"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720" w:type="dxa"/>
            <w:noWrap/>
            <w:hideMark/>
          </w:tcPr>
          <w:p w14:paraId="57F2B5C0"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X</w:t>
            </w:r>
          </w:p>
        </w:tc>
        <w:tc>
          <w:tcPr>
            <w:tcW w:w="720" w:type="dxa"/>
            <w:noWrap/>
            <w:hideMark/>
          </w:tcPr>
          <w:p w14:paraId="15336EAE"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p>
        </w:tc>
        <w:tc>
          <w:tcPr>
            <w:tcW w:w="720" w:type="dxa"/>
            <w:noWrap/>
            <w:hideMark/>
          </w:tcPr>
          <w:p w14:paraId="7129BA36"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900" w:type="dxa"/>
            <w:noWrap/>
            <w:hideMark/>
          </w:tcPr>
          <w:p w14:paraId="68D9A1E0"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810" w:type="dxa"/>
            <w:gridSpan w:val="2"/>
            <w:noWrap/>
            <w:hideMark/>
          </w:tcPr>
          <w:p w14:paraId="0023FCC0"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r>
      <w:tr w:rsidR="00C37C27" w:rsidRPr="00FB3B0E" w14:paraId="13D0D037" w14:textId="77777777" w:rsidTr="00165A46">
        <w:trPr>
          <w:cnfStyle w:val="000000100000" w:firstRow="0" w:lastRow="0" w:firstColumn="0" w:lastColumn="0" w:oddVBand="0" w:evenVBand="0" w:oddHBand="1" w:evenHBand="0" w:firstRowFirstColumn="0" w:firstRowLastColumn="0" w:lastRowFirstColumn="0" w:lastRowLastColumn="0"/>
          <w:trHeight w:val="620"/>
          <w:jc w:val="center"/>
        </w:trPr>
        <w:tc>
          <w:tcPr>
            <w:cnfStyle w:val="001000000000" w:firstRow="0" w:lastRow="0" w:firstColumn="1" w:lastColumn="0" w:oddVBand="0" w:evenVBand="0" w:oddHBand="0" w:evenHBand="0" w:firstRowFirstColumn="0" w:firstRowLastColumn="0" w:lastRowFirstColumn="0" w:lastRowLastColumn="0"/>
            <w:tcW w:w="1710" w:type="dxa"/>
            <w:noWrap/>
            <w:hideMark/>
          </w:tcPr>
          <w:p w14:paraId="4FDCD11A" w14:textId="77777777" w:rsidR="001E39AF" w:rsidRPr="00FB3B0E" w:rsidRDefault="001E39AF" w:rsidP="001E39AF">
            <w:pPr>
              <w:spacing w:after="0" w:line="240" w:lineRule="auto"/>
              <w:rPr>
                <w:rFonts w:eastAsia="Times New Roman" w:cs="Times New Roman"/>
                <w:color w:val="000000"/>
                <w:sz w:val="22"/>
              </w:rPr>
            </w:pPr>
            <w:r w:rsidRPr="00FB3B0E">
              <w:rPr>
                <w:rFonts w:eastAsia="Times New Roman" w:cs="Times New Roman"/>
                <w:color w:val="000000"/>
                <w:sz w:val="22"/>
              </w:rPr>
              <w:t>Indemnification</w:t>
            </w:r>
          </w:p>
        </w:tc>
        <w:tc>
          <w:tcPr>
            <w:tcW w:w="6135" w:type="dxa"/>
            <w:gridSpan w:val="2"/>
            <w:hideMark/>
          </w:tcPr>
          <w:p w14:paraId="654EA2B1" w14:textId="3C1DCA79" w:rsidR="001E39AF" w:rsidRPr="00FB3B0E" w:rsidRDefault="001E39AF" w:rsidP="001E39A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(2) The Contractor shall indemnify the Government and its officers, agents, and employees acting for the Government against any liability arising out of the performance of this contract, including costs and expen</w:t>
            </w:r>
            <w:r w:rsidR="00D85030">
              <w:rPr>
                <w:rFonts w:eastAsia="Times New Roman" w:cs="Times New Roman"/>
                <w:color w:val="000000"/>
                <w:sz w:val="22"/>
              </w:rPr>
              <w:t>ses, incurred as the result of</w:t>
            </w:r>
            <w:r w:rsidRPr="00FB3B0E">
              <w:rPr>
                <w:rFonts w:eastAsia="Times New Roman" w:cs="Times New Roman"/>
                <w:color w:val="000000"/>
                <w:sz w:val="22"/>
              </w:rPr>
              <w:t xml:space="preserve"> (i) the Contractor’s unauthorized disclosure of trade secrets, copyrights, contractor bid or proposal information, source selection information, classified information, material marked “For Official Use Only”, information subject to a right of privacy or publicity, personally identifiable information as defined in OMB Memorandum M-07-19 (July 12, 2006), or any record as defined in 5 U.S.C. § 552a; or (ii) the Contractor’s unauthorized introduction of any libelous or other unlawful matter into Government data. The contractor agrees to waive any and all defenses that may be asserted for its benefit, including without limitation the Government Contractors Defense. </w:t>
            </w:r>
          </w:p>
        </w:tc>
        <w:tc>
          <w:tcPr>
            <w:tcW w:w="795" w:type="dxa"/>
            <w:noWrap/>
            <w:hideMark/>
          </w:tcPr>
          <w:p w14:paraId="14C44EBF"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p>
        </w:tc>
        <w:tc>
          <w:tcPr>
            <w:tcW w:w="450" w:type="dxa"/>
            <w:noWrap/>
            <w:hideMark/>
          </w:tcPr>
          <w:p w14:paraId="4A0DC52F"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720" w:type="dxa"/>
            <w:noWrap/>
            <w:hideMark/>
          </w:tcPr>
          <w:p w14:paraId="0D528713"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X</w:t>
            </w:r>
          </w:p>
        </w:tc>
        <w:tc>
          <w:tcPr>
            <w:tcW w:w="720" w:type="dxa"/>
            <w:noWrap/>
            <w:hideMark/>
          </w:tcPr>
          <w:p w14:paraId="3214A611"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p>
        </w:tc>
        <w:tc>
          <w:tcPr>
            <w:tcW w:w="720" w:type="dxa"/>
            <w:noWrap/>
            <w:hideMark/>
          </w:tcPr>
          <w:p w14:paraId="5D339C90"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900" w:type="dxa"/>
            <w:noWrap/>
            <w:hideMark/>
          </w:tcPr>
          <w:p w14:paraId="200A179B"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810" w:type="dxa"/>
            <w:gridSpan w:val="2"/>
            <w:noWrap/>
            <w:hideMark/>
          </w:tcPr>
          <w:p w14:paraId="3E38603D"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r>
      <w:tr w:rsidR="001C1740" w:rsidRPr="00FB3B0E" w14:paraId="560865BA" w14:textId="77777777" w:rsidTr="00165A46">
        <w:trPr>
          <w:trHeight w:val="773"/>
          <w:jc w:val="center"/>
        </w:trPr>
        <w:tc>
          <w:tcPr>
            <w:cnfStyle w:val="001000000000" w:firstRow="0" w:lastRow="0" w:firstColumn="1" w:lastColumn="0" w:oddVBand="0" w:evenVBand="0" w:oddHBand="0" w:evenHBand="0" w:firstRowFirstColumn="0" w:firstRowLastColumn="0" w:lastRowFirstColumn="0" w:lastRowLastColumn="0"/>
            <w:tcW w:w="1710" w:type="dxa"/>
            <w:noWrap/>
            <w:hideMark/>
          </w:tcPr>
          <w:p w14:paraId="4CD08F78" w14:textId="77777777" w:rsidR="001E39AF" w:rsidRPr="00FB3B0E" w:rsidRDefault="001E39AF" w:rsidP="001E39AF">
            <w:pPr>
              <w:spacing w:after="0" w:line="240" w:lineRule="auto"/>
              <w:rPr>
                <w:rFonts w:eastAsia="Times New Roman" w:cs="Times New Roman"/>
                <w:color w:val="000000"/>
                <w:sz w:val="22"/>
              </w:rPr>
            </w:pPr>
            <w:r w:rsidRPr="00FB3B0E">
              <w:rPr>
                <w:rFonts w:eastAsia="Times New Roman" w:cs="Times New Roman"/>
                <w:color w:val="000000"/>
                <w:sz w:val="22"/>
              </w:rPr>
              <w:t>Indemnification</w:t>
            </w:r>
          </w:p>
        </w:tc>
        <w:tc>
          <w:tcPr>
            <w:tcW w:w="6135" w:type="dxa"/>
            <w:gridSpan w:val="2"/>
            <w:hideMark/>
          </w:tcPr>
          <w:p w14:paraId="781CBEFD" w14:textId="77777777" w:rsidR="001E39AF" w:rsidRPr="00FB3B0E" w:rsidRDefault="001E39AF" w:rsidP="001E39A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 xml:space="preserve">(3) In the event of any claim or suit against the Government on account of any alleged unauthorized disclosure or introduction of data or information arising out of the performance of this contract or services performed under this contract, the Contractor shall furnish to the Government, when requested by the Contracting Officer, all evidence and information in the Contractor’s possession pertaining to such claim or suit. Such evidence and information shall be furnished at the expense of the Contractor; provided, however, that an equitable adjustment shall be made under this clause, and the contract modified in writing accordingly, if the claim or suit is withdrawn, settled, or adjudicated in favor of the Government, and the basis for the claim or suit, regardless of outcome, was not due to any act or omission of the Contractor. </w:t>
            </w:r>
          </w:p>
        </w:tc>
        <w:tc>
          <w:tcPr>
            <w:tcW w:w="795" w:type="dxa"/>
            <w:noWrap/>
            <w:hideMark/>
          </w:tcPr>
          <w:p w14:paraId="01D7EC4C"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p>
        </w:tc>
        <w:tc>
          <w:tcPr>
            <w:tcW w:w="450" w:type="dxa"/>
            <w:noWrap/>
            <w:hideMark/>
          </w:tcPr>
          <w:p w14:paraId="5390C0CD"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720" w:type="dxa"/>
            <w:noWrap/>
            <w:hideMark/>
          </w:tcPr>
          <w:p w14:paraId="73416438"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X</w:t>
            </w:r>
          </w:p>
        </w:tc>
        <w:tc>
          <w:tcPr>
            <w:tcW w:w="720" w:type="dxa"/>
            <w:noWrap/>
            <w:hideMark/>
          </w:tcPr>
          <w:p w14:paraId="2EAEB0D4"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p>
        </w:tc>
        <w:tc>
          <w:tcPr>
            <w:tcW w:w="720" w:type="dxa"/>
            <w:noWrap/>
            <w:hideMark/>
          </w:tcPr>
          <w:p w14:paraId="7EC291D9"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900" w:type="dxa"/>
            <w:noWrap/>
            <w:hideMark/>
          </w:tcPr>
          <w:p w14:paraId="09623410"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810" w:type="dxa"/>
            <w:gridSpan w:val="2"/>
            <w:noWrap/>
            <w:hideMark/>
          </w:tcPr>
          <w:p w14:paraId="1773F19A"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r>
      <w:tr w:rsidR="00C37C27" w:rsidRPr="00FB3B0E" w14:paraId="41A5BFA1" w14:textId="77777777" w:rsidTr="00165A46">
        <w:trPr>
          <w:cnfStyle w:val="000000100000" w:firstRow="0" w:lastRow="0" w:firstColumn="0" w:lastColumn="0" w:oddVBand="0" w:evenVBand="0" w:oddHBand="1" w:evenHBand="0" w:firstRowFirstColumn="0" w:firstRowLastColumn="0" w:lastRowFirstColumn="0" w:lastRowLastColumn="0"/>
          <w:trHeight w:val="467"/>
          <w:jc w:val="center"/>
        </w:trPr>
        <w:tc>
          <w:tcPr>
            <w:cnfStyle w:val="001000000000" w:firstRow="0" w:lastRow="0" w:firstColumn="1" w:lastColumn="0" w:oddVBand="0" w:evenVBand="0" w:oddHBand="0" w:evenHBand="0" w:firstRowFirstColumn="0" w:firstRowLastColumn="0" w:lastRowFirstColumn="0" w:lastRowLastColumn="0"/>
            <w:tcW w:w="1710" w:type="dxa"/>
            <w:noWrap/>
            <w:hideMark/>
          </w:tcPr>
          <w:p w14:paraId="1B338709" w14:textId="77777777" w:rsidR="001E39AF" w:rsidRPr="00FB3B0E" w:rsidRDefault="001E39AF" w:rsidP="001E39AF">
            <w:pPr>
              <w:spacing w:after="0" w:line="240" w:lineRule="auto"/>
              <w:rPr>
                <w:rFonts w:eastAsia="Times New Roman" w:cs="Times New Roman"/>
                <w:color w:val="000000"/>
                <w:sz w:val="22"/>
              </w:rPr>
            </w:pPr>
            <w:r w:rsidRPr="00FB3B0E">
              <w:rPr>
                <w:rFonts w:eastAsia="Times New Roman" w:cs="Times New Roman"/>
                <w:color w:val="000000"/>
                <w:sz w:val="22"/>
              </w:rPr>
              <w:t>Indemnification</w:t>
            </w:r>
          </w:p>
        </w:tc>
        <w:tc>
          <w:tcPr>
            <w:tcW w:w="6135" w:type="dxa"/>
            <w:gridSpan w:val="2"/>
            <w:hideMark/>
          </w:tcPr>
          <w:p w14:paraId="22D01E6A" w14:textId="77777777" w:rsidR="001E39AF" w:rsidRPr="00FB3B0E" w:rsidRDefault="001E39AF" w:rsidP="001E39A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 xml:space="preserve">(4) The provisions of this paragraph do not apply unless the Government provides notice to the Contractor as soon as practicable of any claim or suit, affords the Contractor an opportunity under applicable laws, rules, or regulations to participate in the defense of the claim or suit, and obtains the Contractor’s consent to the settlement of any claim or suit other than as required by final decree of a court of competent jurisdiction; and these provisions do not apply to any libelous or other unlawful matter contained in such data furnished to the Contractor by the Government and incorporated in data to which this clause applies. Further, this indemnity shall not apply to— </w:t>
            </w:r>
          </w:p>
        </w:tc>
        <w:tc>
          <w:tcPr>
            <w:tcW w:w="795" w:type="dxa"/>
            <w:noWrap/>
            <w:hideMark/>
          </w:tcPr>
          <w:p w14:paraId="252BA08D"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p>
        </w:tc>
        <w:tc>
          <w:tcPr>
            <w:tcW w:w="450" w:type="dxa"/>
            <w:noWrap/>
            <w:hideMark/>
          </w:tcPr>
          <w:p w14:paraId="15BB051C"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720" w:type="dxa"/>
            <w:noWrap/>
            <w:hideMark/>
          </w:tcPr>
          <w:p w14:paraId="42BFCC61"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X</w:t>
            </w:r>
          </w:p>
        </w:tc>
        <w:tc>
          <w:tcPr>
            <w:tcW w:w="720" w:type="dxa"/>
            <w:noWrap/>
            <w:hideMark/>
          </w:tcPr>
          <w:p w14:paraId="53106A79"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p>
        </w:tc>
        <w:tc>
          <w:tcPr>
            <w:tcW w:w="720" w:type="dxa"/>
            <w:noWrap/>
            <w:hideMark/>
          </w:tcPr>
          <w:p w14:paraId="37D17781"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900" w:type="dxa"/>
            <w:noWrap/>
            <w:hideMark/>
          </w:tcPr>
          <w:p w14:paraId="79E257A4"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810" w:type="dxa"/>
            <w:gridSpan w:val="2"/>
            <w:noWrap/>
            <w:hideMark/>
          </w:tcPr>
          <w:p w14:paraId="7B492F3A"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r>
      <w:tr w:rsidR="001C1740" w:rsidRPr="00FB3B0E" w14:paraId="4A31E588" w14:textId="77777777" w:rsidTr="00165A46">
        <w:trPr>
          <w:trHeight w:val="827"/>
          <w:jc w:val="center"/>
        </w:trPr>
        <w:tc>
          <w:tcPr>
            <w:cnfStyle w:val="001000000000" w:firstRow="0" w:lastRow="0" w:firstColumn="1" w:lastColumn="0" w:oddVBand="0" w:evenVBand="0" w:oddHBand="0" w:evenHBand="0" w:firstRowFirstColumn="0" w:firstRowLastColumn="0" w:lastRowFirstColumn="0" w:lastRowLastColumn="0"/>
            <w:tcW w:w="1710" w:type="dxa"/>
            <w:noWrap/>
            <w:hideMark/>
          </w:tcPr>
          <w:p w14:paraId="0EB54B33" w14:textId="77777777" w:rsidR="001E39AF" w:rsidRPr="00FB3B0E" w:rsidRDefault="001E39AF" w:rsidP="001E39AF">
            <w:pPr>
              <w:spacing w:after="0" w:line="240" w:lineRule="auto"/>
              <w:rPr>
                <w:rFonts w:eastAsia="Times New Roman" w:cs="Times New Roman"/>
                <w:color w:val="000000"/>
                <w:sz w:val="22"/>
              </w:rPr>
            </w:pPr>
            <w:r w:rsidRPr="00FB3B0E">
              <w:rPr>
                <w:rFonts w:eastAsia="Times New Roman" w:cs="Times New Roman"/>
                <w:color w:val="000000"/>
                <w:sz w:val="22"/>
              </w:rPr>
              <w:t>Indemnification</w:t>
            </w:r>
          </w:p>
        </w:tc>
        <w:tc>
          <w:tcPr>
            <w:tcW w:w="6135" w:type="dxa"/>
            <w:gridSpan w:val="2"/>
            <w:hideMark/>
          </w:tcPr>
          <w:p w14:paraId="5C12907C" w14:textId="77777777" w:rsidR="001E39AF" w:rsidRPr="00FB3B0E" w:rsidRDefault="001E39AF" w:rsidP="001E39A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 xml:space="preserve">a. A disclosure or inclusion of data or information upon specific written instructions of the Contracting Officer directing the disclosure or inclusion of such information or data; </w:t>
            </w:r>
          </w:p>
        </w:tc>
        <w:tc>
          <w:tcPr>
            <w:tcW w:w="795" w:type="dxa"/>
            <w:noWrap/>
            <w:hideMark/>
          </w:tcPr>
          <w:p w14:paraId="4F3DBE49"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p>
        </w:tc>
        <w:tc>
          <w:tcPr>
            <w:tcW w:w="450" w:type="dxa"/>
            <w:noWrap/>
            <w:hideMark/>
          </w:tcPr>
          <w:p w14:paraId="0EB9DD2D"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720" w:type="dxa"/>
            <w:noWrap/>
            <w:hideMark/>
          </w:tcPr>
          <w:p w14:paraId="0B66B4FC"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X</w:t>
            </w:r>
          </w:p>
        </w:tc>
        <w:tc>
          <w:tcPr>
            <w:tcW w:w="720" w:type="dxa"/>
            <w:noWrap/>
            <w:hideMark/>
          </w:tcPr>
          <w:p w14:paraId="7E39CC68"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p>
        </w:tc>
        <w:tc>
          <w:tcPr>
            <w:tcW w:w="720" w:type="dxa"/>
            <w:noWrap/>
            <w:hideMark/>
          </w:tcPr>
          <w:p w14:paraId="0A63C013"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900" w:type="dxa"/>
            <w:noWrap/>
            <w:hideMark/>
          </w:tcPr>
          <w:p w14:paraId="2FCC49FB"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810" w:type="dxa"/>
            <w:gridSpan w:val="2"/>
            <w:noWrap/>
            <w:hideMark/>
          </w:tcPr>
          <w:p w14:paraId="4B3EFB0C"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r>
      <w:tr w:rsidR="00C37C27" w:rsidRPr="00FB3B0E" w14:paraId="57257562" w14:textId="77777777" w:rsidTr="00165A46">
        <w:trPr>
          <w:cnfStyle w:val="000000100000" w:firstRow="0" w:lastRow="0" w:firstColumn="0" w:lastColumn="0" w:oddVBand="0" w:evenVBand="0" w:oddHBand="1" w:evenHBand="0" w:firstRowFirstColumn="0" w:firstRowLastColumn="0" w:lastRowFirstColumn="0" w:lastRowLastColumn="0"/>
          <w:trHeight w:val="692"/>
          <w:jc w:val="center"/>
        </w:trPr>
        <w:tc>
          <w:tcPr>
            <w:cnfStyle w:val="001000000000" w:firstRow="0" w:lastRow="0" w:firstColumn="1" w:lastColumn="0" w:oddVBand="0" w:evenVBand="0" w:oddHBand="0" w:evenHBand="0" w:firstRowFirstColumn="0" w:firstRowLastColumn="0" w:lastRowFirstColumn="0" w:lastRowLastColumn="0"/>
            <w:tcW w:w="1710" w:type="dxa"/>
            <w:noWrap/>
            <w:hideMark/>
          </w:tcPr>
          <w:p w14:paraId="773F7B01" w14:textId="77777777" w:rsidR="001E39AF" w:rsidRPr="00FB3B0E" w:rsidRDefault="001E39AF" w:rsidP="001E39AF">
            <w:pPr>
              <w:spacing w:after="0" w:line="240" w:lineRule="auto"/>
              <w:rPr>
                <w:rFonts w:eastAsia="Times New Roman" w:cs="Times New Roman"/>
                <w:color w:val="000000"/>
                <w:sz w:val="22"/>
              </w:rPr>
            </w:pPr>
            <w:r w:rsidRPr="00FB3B0E">
              <w:rPr>
                <w:rFonts w:eastAsia="Times New Roman" w:cs="Times New Roman"/>
                <w:color w:val="000000"/>
                <w:sz w:val="22"/>
              </w:rPr>
              <w:t>Indemnification</w:t>
            </w:r>
          </w:p>
        </w:tc>
        <w:tc>
          <w:tcPr>
            <w:tcW w:w="6135" w:type="dxa"/>
            <w:gridSpan w:val="2"/>
            <w:hideMark/>
          </w:tcPr>
          <w:p w14:paraId="595EC515" w14:textId="77777777" w:rsidR="001E39AF" w:rsidRPr="00FB3B0E" w:rsidRDefault="001E39AF" w:rsidP="001E39A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b. A third-party claim that is unreasonably settled without the consent of the Contractor, unless required by final decree of a court of competent jurisdiction.</w:t>
            </w:r>
          </w:p>
        </w:tc>
        <w:tc>
          <w:tcPr>
            <w:tcW w:w="795" w:type="dxa"/>
            <w:noWrap/>
            <w:hideMark/>
          </w:tcPr>
          <w:p w14:paraId="23BB89E0"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p>
        </w:tc>
        <w:tc>
          <w:tcPr>
            <w:tcW w:w="450" w:type="dxa"/>
            <w:noWrap/>
            <w:hideMark/>
          </w:tcPr>
          <w:p w14:paraId="6CA528A5"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720" w:type="dxa"/>
            <w:noWrap/>
            <w:hideMark/>
          </w:tcPr>
          <w:p w14:paraId="17152CB8"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X</w:t>
            </w:r>
          </w:p>
        </w:tc>
        <w:tc>
          <w:tcPr>
            <w:tcW w:w="720" w:type="dxa"/>
            <w:noWrap/>
            <w:hideMark/>
          </w:tcPr>
          <w:p w14:paraId="22613C2D"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p>
        </w:tc>
        <w:tc>
          <w:tcPr>
            <w:tcW w:w="720" w:type="dxa"/>
            <w:noWrap/>
            <w:hideMark/>
          </w:tcPr>
          <w:p w14:paraId="074E6012"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900" w:type="dxa"/>
            <w:noWrap/>
            <w:hideMark/>
          </w:tcPr>
          <w:p w14:paraId="64C83E38"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810" w:type="dxa"/>
            <w:gridSpan w:val="2"/>
            <w:noWrap/>
            <w:hideMark/>
          </w:tcPr>
          <w:p w14:paraId="7107E692"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r>
      <w:tr w:rsidR="001C1740" w:rsidRPr="00FB3B0E" w14:paraId="2FC8D467" w14:textId="77777777" w:rsidTr="00165A46">
        <w:trPr>
          <w:trHeight w:val="764"/>
          <w:jc w:val="center"/>
        </w:trPr>
        <w:tc>
          <w:tcPr>
            <w:cnfStyle w:val="001000000000" w:firstRow="0" w:lastRow="0" w:firstColumn="1" w:lastColumn="0" w:oddVBand="0" w:evenVBand="0" w:oddHBand="0" w:evenHBand="0" w:firstRowFirstColumn="0" w:firstRowLastColumn="0" w:lastRowFirstColumn="0" w:lastRowLastColumn="0"/>
            <w:tcW w:w="1710" w:type="dxa"/>
            <w:noWrap/>
            <w:hideMark/>
          </w:tcPr>
          <w:p w14:paraId="531524AA" w14:textId="77777777" w:rsidR="001E39AF" w:rsidRPr="00FB3B0E" w:rsidRDefault="001E39AF" w:rsidP="001E39AF">
            <w:pPr>
              <w:spacing w:after="0" w:line="240" w:lineRule="auto"/>
              <w:rPr>
                <w:rFonts w:eastAsia="Times New Roman" w:cs="Times New Roman"/>
                <w:color w:val="000000"/>
                <w:sz w:val="22"/>
              </w:rPr>
            </w:pPr>
            <w:r w:rsidRPr="00FB3B0E">
              <w:rPr>
                <w:rFonts w:eastAsia="Times New Roman" w:cs="Times New Roman"/>
                <w:color w:val="000000"/>
                <w:sz w:val="22"/>
              </w:rPr>
              <w:t>Insurance</w:t>
            </w:r>
          </w:p>
        </w:tc>
        <w:tc>
          <w:tcPr>
            <w:tcW w:w="6135" w:type="dxa"/>
            <w:gridSpan w:val="2"/>
            <w:hideMark/>
          </w:tcPr>
          <w:p w14:paraId="6D2C7575" w14:textId="77777777" w:rsidR="001E39AF" w:rsidRPr="00FB3B0E" w:rsidRDefault="001E39AF" w:rsidP="001E39A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 xml:space="preserve">(1) The Contractor shall provide and maintain insurance, to include cybersecurity insurance, throughout the performance of this contract, as specified in the Schedule or elsewhere in the contract. </w:t>
            </w:r>
          </w:p>
        </w:tc>
        <w:tc>
          <w:tcPr>
            <w:tcW w:w="795" w:type="dxa"/>
            <w:noWrap/>
            <w:hideMark/>
          </w:tcPr>
          <w:p w14:paraId="5DA2F254"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p>
        </w:tc>
        <w:tc>
          <w:tcPr>
            <w:tcW w:w="450" w:type="dxa"/>
            <w:noWrap/>
            <w:hideMark/>
          </w:tcPr>
          <w:p w14:paraId="4F375EDA"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720" w:type="dxa"/>
            <w:noWrap/>
            <w:hideMark/>
          </w:tcPr>
          <w:p w14:paraId="1A3E9EF9"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X</w:t>
            </w:r>
          </w:p>
        </w:tc>
        <w:tc>
          <w:tcPr>
            <w:tcW w:w="720" w:type="dxa"/>
            <w:noWrap/>
            <w:hideMark/>
          </w:tcPr>
          <w:p w14:paraId="6F657EC3"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p>
        </w:tc>
        <w:tc>
          <w:tcPr>
            <w:tcW w:w="720" w:type="dxa"/>
            <w:noWrap/>
            <w:hideMark/>
          </w:tcPr>
          <w:p w14:paraId="23BCE38C"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900" w:type="dxa"/>
            <w:noWrap/>
            <w:hideMark/>
          </w:tcPr>
          <w:p w14:paraId="20722A22"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810" w:type="dxa"/>
            <w:gridSpan w:val="2"/>
            <w:noWrap/>
            <w:hideMark/>
          </w:tcPr>
          <w:p w14:paraId="56C71DA3"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r>
      <w:tr w:rsidR="00C37C27" w:rsidRPr="00FB3B0E" w14:paraId="02BC6537" w14:textId="77777777" w:rsidTr="00165A46">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1710" w:type="dxa"/>
            <w:noWrap/>
            <w:hideMark/>
          </w:tcPr>
          <w:p w14:paraId="46893342" w14:textId="77777777" w:rsidR="001E39AF" w:rsidRPr="00FB3B0E" w:rsidRDefault="001E39AF" w:rsidP="001E39AF">
            <w:pPr>
              <w:spacing w:after="0" w:line="240" w:lineRule="auto"/>
              <w:rPr>
                <w:rFonts w:eastAsia="Times New Roman" w:cs="Times New Roman"/>
                <w:color w:val="000000"/>
                <w:sz w:val="22"/>
              </w:rPr>
            </w:pPr>
            <w:r w:rsidRPr="00FB3B0E">
              <w:rPr>
                <w:rFonts w:eastAsia="Times New Roman" w:cs="Times New Roman"/>
                <w:color w:val="000000"/>
                <w:sz w:val="22"/>
              </w:rPr>
              <w:t>Insurance</w:t>
            </w:r>
          </w:p>
        </w:tc>
        <w:tc>
          <w:tcPr>
            <w:tcW w:w="6135" w:type="dxa"/>
            <w:gridSpan w:val="2"/>
            <w:hideMark/>
          </w:tcPr>
          <w:p w14:paraId="18803B87" w14:textId="3A8C4FF3" w:rsidR="001E39AF" w:rsidRPr="00FB3B0E" w:rsidRDefault="001E39AF" w:rsidP="001E39A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(2) Before commencing performance under this contract, the Contractor shall provide proof of insurance to the Contracting Officer</w:t>
            </w:r>
            <w:r w:rsidR="00D85030">
              <w:rPr>
                <w:rFonts w:eastAsia="Times New Roman" w:cs="Times New Roman"/>
                <w:color w:val="000000"/>
                <w:sz w:val="22"/>
              </w:rPr>
              <w:t xml:space="preserve">. </w:t>
            </w:r>
            <w:r w:rsidRPr="00FB3B0E">
              <w:rPr>
                <w:rFonts w:eastAsia="Times New Roman" w:cs="Times New Roman"/>
                <w:color w:val="000000"/>
                <w:sz w:val="22"/>
              </w:rPr>
              <w:t xml:space="preserve">The Contractor shall resubmit the proof of insurance within 30 days of notification of any material change that occurs during the performance of the contract. </w:t>
            </w:r>
          </w:p>
        </w:tc>
        <w:tc>
          <w:tcPr>
            <w:tcW w:w="795" w:type="dxa"/>
            <w:noWrap/>
            <w:hideMark/>
          </w:tcPr>
          <w:p w14:paraId="0A7867A3"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p>
        </w:tc>
        <w:tc>
          <w:tcPr>
            <w:tcW w:w="450" w:type="dxa"/>
            <w:noWrap/>
            <w:hideMark/>
          </w:tcPr>
          <w:p w14:paraId="482C9787"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720" w:type="dxa"/>
            <w:noWrap/>
            <w:hideMark/>
          </w:tcPr>
          <w:p w14:paraId="71BE0289"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X</w:t>
            </w:r>
          </w:p>
        </w:tc>
        <w:tc>
          <w:tcPr>
            <w:tcW w:w="720" w:type="dxa"/>
            <w:noWrap/>
            <w:hideMark/>
          </w:tcPr>
          <w:p w14:paraId="21744293"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p>
        </w:tc>
        <w:tc>
          <w:tcPr>
            <w:tcW w:w="720" w:type="dxa"/>
            <w:noWrap/>
            <w:hideMark/>
          </w:tcPr>
          <w:p w14:paraId="042ABE2C"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900" w:type="dxa"/>
            <w:noWrap/>
            <w:hideMark/>
          </w:tcPr>
          <w:p w14:paraId="76CE5D5F"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810" w:type="dxa"/>
            <w:gridSpan w:val="2"/>
            <w:noWrap/>
            <w:hideMark/>
          </w:tcPr>
          <w:p w14:paraId="65E0F8F9"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X</w:t>
            </w:r>
          </w:p>
        </w:tc>
      </w:tr>
      <w:tr w:rsidR="001C1740" w:rsidRPr="00FB3B0E" w14:paraId="3F2D0443" w14:textId="77777777" w:rsidTr="00165A46">
        <w:trPr>
          <w:trHeight w:val="314"/>
          <w:jc w:val="center"/>
        </w:trPr>
        <w:tc>
          <w:tcPr>
            <w:cnfStyle w:val="001000000000" w:firstRow="0" w:lastRow="0" w:firstColumn="1" w:lastColumn="0" w:oddVBand="0" w:evenVBand="0" w:oddHBand="0" w:evenHBand="0" w:firstRowFirstColumn="0" w:firstRowLastColumn="0" w:lastRowFirstColumn="0" w:lastRowLastColumn="0"/>
            <w:tcW w:w="1710" w:type="dxa"/>
            <w:noWrap/>
            <w:hideMark/>
          </w:tcPr>
          <w:p w14:paraId="1083B305" w14:textId="77777777" w:rsidR="001E39AF" w:rsidRPr="00FB3B0E" w:rsidRDefault="001E39AF" w:rsidP="001E39AF">
            <w:pPr>
              <w:spacing w:after="0" w:line="240" w:lineRule="auto"/>
              <w:rPr>
                <w:rFonts w:eastAsia="Times New Roman" w:cs="Times New Roman"/>
                <w:color w:val="000000"/>
                <w:sz w:val="22"/>
              </w:rPr>
            </w:pPr>
            <w:r w:rsidRPr="00FB3B0E">
              <w:rPr>
                <w:rFonts w:eastAsia="Times New Roman" w:cs="Times New Roman"/>
                <w:color w:val="000000"/>
                <w:sz w:val="22"/>
              </w:rPr>
              <w:t>Insurance</w:t>
            </w:r>
          </w:p>
        </w:tc>
        <w:tc>
          <w:tcPr>
            <w:tcW w:w="6135" w:type="dxa"/>
            <w:gridSpan w:val="2"/>
            <w:hideMark/>
          </w:tcPr>
          <w:p w14:paraId="27777799" w14:textId="77777777" w:rsidR="001E39AF" w:rsidRPr="00FB3B0E" w:rsidRDefault="001E39AF" w:rsidP="001E39A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(3) The Contractor shall insert the substance of this clause, including this paragraph (c), in subcontracts under this contract that require work with or in support of storage and retrieval of electronic/digital government data and shall require subcontractors to provide and maintain the insurance required in the Schedule or elsewhere in the contract. The Contractor shall maintain a copy of all subcontractors’ proofs of required insurance and shall make copies available to the Contracting Officer upon request.</w:t>
            </w:r>
          </w:p>
        </w:tc>
        <w:tc>
          <w:tcPr>
            <w:tcW w:w="795" w:type="dxa"/>
            <w:noWrap/>
            <w:hideMark/>
          </w:tcPr>
          <w:p w14:paraId="2D33FC94"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p>
        </w:tc>
        <w:tc>
          <w:tcPr>
            <w:tcW w:w="450" w:type="dxa"/>
            <w:noWrap/>
            <w:hideMark/>
          </w:tcPr>
          <w:p w14:paraId="3E6D84FE"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720" w:type="dxa"/>
            <w:noWrap/>
            <w:hideMark/>
          </w:tcPr>
          <w:p w14:paraId="0A93EC34"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X</w:t>
            </w:r>
          </w:p>
        </w:tc>
        <w:tc>
          <w:tcPr>
            <w:tcW w:w="720" w:type="dxa"/>
            <w:noWrap/>
            <w:hideMark/>
          </w:tcPr>
          <w:p w14:paraId="67D937E4"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p>
        </w:tc>
        <w:tc>
          <w:tcPr>
            <w:tcW w:w="720" w:type="dxa"/>
            <w:noWrap/>
            <w:hideMark/>
          </w:tcPr>
          <w:p w14:paraId="13421E17"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900" w:type="dxa"/>
            <w:noWrap/>
            <w:hideMark/>
          </w:tcPr>
          <w:p w14:paraId="6A892049"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810" w:type="dxa"/>
            <w:gridSpan w:val="2"/>
            <w:noWrap/>
            <w:hideMark/>
          </w:tcPr>
          <w:p w14:paraId="29A878BF"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r>
      <w:tr w:rsidR="00C37C27" w:rsidRPr="00FB3B0E" w14:paraId="45E4B38B" w14:textId="77777777" w:rsidTr="00165A46">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1710" w:type="dxa"/>
            <w:noWrap/>
            <w:hideMark/>
          </w:tcPr>
          <w:p w14:paraId="3D09661E" w14:textId="77777777" w:rsidR="001E39AF" w:rsidRPr="00FB3B0E" w:rsidRDefault="001E39AF" w:rsidP="001E39AF">
            <w:pPr>
              <w:spacing w:after="0" w:line="240" w:lineRule="auto"/>
              <w:rPr>
                <w:rFonts w:eastAsia="Times New Roman" w:cs="Times New Roman"/>
                <w:color w:val="000000"/>
                <w:sz w:val="22"/>
              </w:rPr>
            </w:pPr>
            <w:r w:rsidRPr="00FB3B0E">
              <w:rPr>
                <w:rFonts w:eastAsia="Times New Roman" w:cs="Times New Roman"/>
                <w:color w:val="000000"/>
                <w:sz w:val="22"/>
              </w:rPr>
              <w:t xml:space="preserve">Law Enforcement </w:t>
            </w:r>
          </w:p>
        </w:tc>
        <w:tc>
          <w:tcPr>
            <w:tcW w:w="6135" w:type="dxa"/>
            <w:gridSpan w:val="2"/>
            <w:hideMark/>
          </w:tcPr>
          <w:p w14:paraId="2C9F5654" w14:textId="1847D84B" w:rsidR="001E39AF" w:rsidRPr="00FB3B0E" w:rsidRDefault="001E39AF" w:rsidP="001E39A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(1) The Contractor shall record all physical access to the cloud storage facilities and all logical access to the government data as specified in the Schedule</w:t>
            </w:r>
            <w:r w:rsidR="00D85030">
              <w:rPr>
                <w:rFonts w:eastAsia="Times New Roman" w:cs="Times New Roman"/>
                <w:color w:val="000000"/>
                <w:sz w:val="22"/>
              </w:rPr>
              <w:t xml:space="preserve">. </w:t>
            </w:r>
            <w:r w:rsidRPr="00FB3B0E">
              <w:rPr>
                <w:rFonts w:eastAsia="Times New Roman" w:cs="Times New Roman"/>
                <w:color w:val="000000"/>
                <w:sz w:val="22"/>
              </w:rPr>
              <w:t>This may include the entrant’s name, role, purpose, account identification, entry and exit time</w:t>
            </w:r>
            <w:r w:rsidR="00D85030">
              <w:rPr>
                <w:rFonts w:eastAsia="Times New Roman" w:cs="Times New Roman"/>
                <w:color w:val="000000"/>
                <w:sz w:val="22"/>
              </w:rPr>
              <w:t xml:space="preserve">. </w:t>
            </w:r>
            <w:r w:rsidRPr="00FB3B0E">
              <w:rPr>
                <w:rFonts w:eastAsia="Times New Roman" w:cs="Times New Roman"/>
                <w:color w:val="000000"/>
                <w:sz w:val="22"/>
              </w:rPr>
              <w:t xml:space="preserve">Such records shall be provided to the Contracting Officer or designee in accordance with the Schedule or upon request to comply with federal authorities. </w:t>
            </w:r>
          </w:p>
        </w:tc>
        <w:tc>
          <w:tcPr>
            <w:tcW w:w="795" w:type="dxa"/>
            <w:noWrap/>
            <w:hideMark/>
          </w:tcPr>
          <w:p w14:paraId="77BFAEA7"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p>
        </w:tc>
        <w:tc>
          <w:tcPr>
            <w:tcW w:w="450" w:type="dxa"/>
            <w:noWrap/>
            <w:hideMark/>
          </w:tcPr>
          <w:p w14:paraId="0F9C2A37"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720" w:type="dxa"/>
            <w:noWrap/>
            <w:hideMark/>
          </w:tcPr>
          <w:p w14:paraId="750C4908"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X</w:t>
            </w:r>
          </w:p>
        </w:tc>
        <w:tc>
          <w:tcPr>
            <w:tcW w:w="720" w:type="dxa"/>
            <w:noWrap/>
            <w:hideMark/>
          </w:tcPr>
          <w:p w14:paraId="735ABBED"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p>
        </w:tc>
        <w:tc>
          <w:tcPr>
            <w:tcW w:w="720" w:type="dxa"/>
            <w:noWrap/>
            <w:hideMark/>
          </w:tcPr>
          <w:p w14:paraId="7AE87565"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900" w:type="dxa"/>
            <w:noWrap/>
            <w:hideMark/>
          </w:tcPr>
          <w:p w14:paraId="42EC9F19"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810" w:type="dxa"/>
            <w:gridSpan w:val="2"/>
            <w:noWrap/>
            <w:hideMark/>
          </w:tcPr>
          <w:p w14:paraId="0AA06238"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r>
      <w:tr w:rsidR="001C1740" w:rsidRPr="00FB3B0E" w14:paraId="548D4EDA" w14:textId="77777777" w:rsidTr="00165A46">
        <w:trPr>
          <w:trHeight w:val="2141"/>
          <w:jc w:val="center"/>
        </w:trPr>
        <w:tc>
          <w:tcPr>
            <w:cnfStyle w:val="001000000000" w:firstRow="0" w:lastRow="0" w:firstColumn="1" w:lastColumn="0" w:oddVBand="0" w:evenVBand="0" w:oddHBand="0" w:evenHBand="0" w:firstRowFirstColumn="0" w:firstRowLastColumn="0" w:lastRowFirstColumn="0" w:lastRowLastColumn="0"/>
            <w:tcW w:w="1710" w:type="dxa"/>
            <w:noWrap/>
            <w:hideMark/>
          </w:tcPr>
          <w:p w14:paraId="71C8B3FC" w14:textId="77777777" w:rsidR="001E39AF" w:rsidRPr="00FB3B0E" w:rsidRDefault="001E39AF" w:rsidP="001E39AF">
            <w:pPr>
              <w:spacing w:after="0" w:line="240" w:lineRule="auto"/>
              <w:rPr>
                <w:rFonts w:eastAsia="Times New Roman" w:cs="Times New Roman"/>
                <w:color w:val="000000"/>
                <w:sz w:val="22"/>
              </w:rPr>
            </w:pPr>
            <w:r w:rsidRPr="00FB3B0E">
              <w:rPr>
                <w:rFonts w:eastAsia="Times New Roman" w:cs="Times New Roman"/>
                <w:color w:val="000000"/>
                <w:sz w:val="22"/>
              </w:rPr>
              <w:t xml:space="preserve">Law Enforcement </w:t>
            </w:r>
          </w:p>
        </w:tc>
        <w:tc>
          <w:tcPr>
            <w:tcW w:w="6135" w:type="dxa"/>
            <w:gridSpan w:val="2"/>
            <w:hideMark/>
          </w:tcPr>
          <w:p w14:paraId="3BADB83E" w14:textId="5DED4FB5" w:rsidR="001E39AF" w:rsidRPr="00FB3B0E" w:rsidRDefault="001E39AF" w:rsidP="001E39A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(2) As specified by the Contracting Officer, the Contractor shall provide immediate access to all Government data and Government-related data impacting Government data for review, scan, or conduct of a forensic evaluation and physical access to any contractor facility with Government data</w:t>
            </w:r>
            <w:r w:rsidR="00D85030">
              <w:rPr>
                <w:rFonts w:eastAsia="Times New Roman" w:cs="Times New Roman"/>
                <w:color w:val="000000"/>
                <w:sz w:val="22"/>
              </w:rPr>
              <w:t xml:space="preserve">. </w:t>
            </w:r>
            <w:r w:rsidRPr="00FB3B0E">
              <w:rPr>
                <w:rFonts w:eastAsia="Times New Roman" w:cs="Times New Roman"/>
                <w:color w:val="000000"/>
                <w:sz w:val="22"/>
              </w:rPr>
              <w:t>If the Government data is co-located with the non-Government data, the Contractor shall isolate the Government data into an environment where it may be reviewed, scanned, or forensically evaluated in a secure space with access limited to authorized Government personnel identified by the Contracting Officer, and without the Contractor’s involvement.</w:t>
            </w:r>
          </w:p>
        </w:tc>
        <w:tc>
          <w:tcPr>
            <w:tcW w:w="795" w:type="dxa"/>
            <w:noWrap/>
            <w:hideMark/>
          </w:tcPr>
          <w:p w14:paraId="1281F95E"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p>
        </w:tc>
        <w:tc>
          <w:tcPr>
            <w:tcW w:w="450" w:type="dxa"/>
            <w:noWrap/>
            <w:hideMark/>
          </w:tcPr>
          <w:p w14:paraId="1F4852A2"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720" w:type="dxa"/>
            <w:noWrap/>
            <w:hideMark/>
          </w:tcPr>
          <w:p w14:paraId="3496CF45"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X</w:t>
            </w:r>
          </w:p>
        </w:tc>
        <w:tc>
          <w:tcPr>
            <w:tcW w:w="720" w:type="dxa"/>
            <w:noWrap/>
            <w:hideMark/>
          </w:tcPr>
          <w:p w14:paraId="189A494F"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p>
        </w:tc>
        <w:tc>
          <w:tcPr>
            <w:tcW w:w="720" w:type="dxa"/>
            <w:noWrap/>
            <w:hideMark/>
          </w:tcPr>
          <w:p w14:paraId="71FB1ADC"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900" w:type="dxa"/>
            <w:noWrap/>
            <w:hideMark/>
          </w:tcPr>
          <w:p w14:paraId="49426ED8"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810" w:type="dxa"/>
            <w:gridSpan w:val="2"/>
            <w:noWrap/>
            <w:hideMark/>
          </w:tcPr>
          <w:p w14:paraId="14A3374D"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r>
      <w:tr w:rsidR="00C37C27" w:rsidRPr="00FB3B0E" w14:paraId="19658FD8" w14:textId="77777777" w:rsidTr="00165A46">
        <w:trPr>
          <w:cnfStyle w:val="000000100000" w:firstRow="0" w:lastRow="0" w:firstColumn="0" w:lastColumn="0" w:oddVBand="0" w:evenVBand="0" w:oddHBand="1" w:evenHBand="0" w:firstRowFirstColumn="0" w:firstRowLastColumn="0" w:lastRowFirstColumn="0" w:lastRowLastColumn="0"/>
          <w:trHeight w:val="77"/>
          <w:jc w:val="center"/>
        </w:trPr>
        <w:tc>
          <w:tcPr>
            <w:cnfStyle w:val="001000000000" w:firstRow="0" w:lastRow="0" w:firstColumn="1" w:lastColumn="0" w:oddVBand="0" w:evenVBand="0" w:oddHBand="0" w:evenHBand="0" w:firstRowFirstColumn="0" w:firstRowLastColumn="0" w:lastRowFirstColumn="0" w:lastRowLastColumn="0"/>
            <w:tcW w:w="1710" w:type="dxa"/>
            <w:noWrap/>
            <w:hideMark/>
          </w:tcPr>
          <w:p w14:paraId="4C16DEC8" w14:textId="77777777" w:rsidR="001E39AF" w:rsidRPr="00FB3B0E" w:rsidRDefault="001E39AF" w:rsidP="001E39AF">
            <w:pPr>
              <w:spacing w:after="0" w:line="240" w:lineRule="auto"/>
              <w:rPr>
                <w:rFonts w:eastAsia="Times New Roman" w:cs="Times New Roman"/>
                <w:color w:val="000000"/>
                <w:sz w:val="22"/>
              </w:rPr>
            </w:pPr>
            <w:r w:rsidRPr="00FB3B0E">
              <w:rPr>
                <w:rFonts w:eastAsia="Times New Roman" w:cs="Times New Roman"/>
                <w:color w:val="000000"/>
                <w:sz w:val="22"/>
              </w:rPr>
              <w:t>Location of Data</w:t>
            </w:r>
          </w:p>
        </w:tc>
        <w:tc>
          <w:tcPr>
            <w:tcW w:w="6135" w:type="dxa"/>
            <w:gridSpan w:val="2"/>
            <w:hideMark/>
          </w:tcPr>
          <w:p w14:paraId="246D737A" w14:textId="77777777" w:rsidR="001E39AF" w:rsidRPr="00FB3B0E" w:rsidRDefault="001E39AF" w:rsidP="001E39A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 xml:space="preserve">(1) The Contractor shall maintain all data within the United States, which means the 50 States, the District of Columbia, and outlying areas. </w:t>
            </w:r>
          </w:p>
        </w:tc>
        <w:tc>
          <w:tcPr>
            <w:tcW w:w="795" w:type="dxa"/>
            <w:noWrap/>
            <w:hideMark/>
          </w:tcPr>
          <w:p w14:paraId="15F3DA7A"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p>
        </w:tc>
        <w:tc>
          <w:tcPr>
            <w:tcW w:w="450" w:type="dxa"/>
            <w:noWrap/>
            <w:hideMark/>
          </w:tcPr>
          <w:p w14:paraId="471134EA"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X</w:t>
            </w:r>
          </w:p>
        </w:tc>
        <w:tc>
          <w:tcPr>
            <w:tcW w:w="720" w:type="dxa"/>
            <w:noWrap/>
            <w:hideMark/>
          </w:tcPr>
          <w:p w14:paraId="7A27D07E"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p>
        </w:tc>
        <w:tc>
          <w:tcPr>
            <w:tcW w:w="720" w:type="dxa"/>
            <w:noWrap/>
            <w:hideMark/>
          </w:tcPr>
          <w:p w14:paraId="647669A8"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720" w:type="dxa"/>
            <w:noWrap/>
            <w:hideMark/>
          </w:tcPr>
          <w:p w14:paraId="2DC043D9"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900" w:type="dxa"/>
            <w:noWrap/>
            <w:hideMark/>
          </w:tcPr>
          <w:p w14:paraId="43F7B24D"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810" w:type="dxa"/>
            <w:gridSpan w:val="2"/>
            <w:noWrap/>
            <w:hideMark/>
          </w:tcPr>
          <w:p w14:paraId="107FFEFB"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r>
      <w:tr w:rsidR="001C1740" w:rsidRPr="00FB3B0E" w14:paraId="0967DD99" w14:textId="77777777" w:rsidTr="00165A46">
        <w:trPr>
          <w:trHeight w:val="107"/>
          <w:jc w:val="center"/>
        </w:trPr>
        <w:tc>
          <w:tcPr>
            <w:cnfStyle w:val="001000000000" w:firstRow="0" w:lastRow="0" w:firstColumn="1" w:lastColumn="0" w:oddVBand="0" w:evenVBand="0" w:oddHBand="0" w:evenHBand="0" w:firstRowFirstColumn="0" w:firstRowLastColumn="0" w:lastRowFirstColumn="0" w:lastRowLastColumn="0"/>
            <w:tcW w:w="1710" w:type="dxa"/>
            <w:noWrap/>
            <w:hideMark/>
          </w:tcPr>
          <w:p w14:paraId="684C0ED5" w14:textId="77777777" w:rsidR="001E39AF" w:rsidRPr="00FB3B0E" w:rsidRDefault="001E39AF" w:rsidP="001E39AF">
            <w:pPr>
              <w:spacing w:after="0" w:line="240" w:lineRule="auto"/>
              <w:rPr>
                <w:rFonts w:eastAsia="Times New Roman" w:cs="Times New Roman"/>
                <w:color w:val="000000"/>
                <w:sz w:val="22"/>
              </w:rPr>
            </w:pPr>
            <w:r w:rsidRPr="00FB3B0E">
              <w:rPr>
                <w:rFonts w:eastAsia="Times New Roman" w:cs="Times New Roman"/>
                <w:color w:val="000000"/>
                <w:sz w:val="22"/>
              </w:rPr>
              <w:t>Location of Data</w:t>
            </w:r>
          </w:p>
        </w:tc>
        <w:tc>
          <w:tcPr>
            <w:tcW w:w="6135" w:type="dxa"/>
            <w:gridSpan w:val="2"/>
            <w:hideMark/>
          </w:tcPr>
          <w:p w14:paraId="48E1F884" w14:textId="77777777" w:rsidR="001E39AF" w:rsidRPr="00FB3B0E" w:rsidRDefault="001E39AF" w:rsidP="001E39A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(2) The Contractor shall provide the Government with a list of the physical locations which may contain government data within 20 days with updates on a quarterly basis.</w:t>
            </w:r>
          </w:p>
        </w:tc>
        <w:tc>
          <w:tcPr>
            <w:tcW w:w="795" w:type="dxa"/>
            <w:noWrap/>
            <w:hideMark/>
          </w:tcPr>
          <w:p w14:paraId="2007B274"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p>
        </w:tc>
        <w:tc>
          <w:tcPr>
            <w:tcW w:w="450" w:type="dxa"/>
            <w:noWrap/>
            <w:hideMark/>
          </w:tcPr>
          <w:p w14:paraId="6255BF17"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X</w:t>
            </w:r>
          </w:p>
        </w:tc>
        <w:tc>
          <w:tcPr>
            <w:tcW w:w="720" w:type="dxa"/>
            <w:noWrap/>
            <w:hideMark/>
          </w:tcPr>
          <w:p w14:paraId="0E90C2FB"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p>
        </w:tc>
        <w:tc>
          <w:tcPr>
            <w:tcW w:w="720" w:type="dxa"/>
            <w:noWrap/>
            <w:hideMark/>
          </w:tcPr>
          <w:p w14:paraId="6294C0B1"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720" w:type="dxa"/>
            <w:noWrap/>
            <w:hideMark/>
          </w:tcPr>
          <w:p w14:paraId="7FB13843"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900" w:type="dxa"/>
            <w:noWrap/>
            <w:hideMark/>
          </w:tcPr>
          <w:p w14:paraId="4CC86D1B" w14:textId="666EAFE9" w:rsidR="001E39AF" w:rsidRPr="00FB3B0E" w:rsidRDefault="00FB3B0E"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X</w:t>
            </w:r>
          </w:p>
        </w:tc>
        <w:tc>
          <w:tcPr>
            <w:tcW w:w="810" w:type="dxa"/>
            <w:gridSpan w:val="2"/>
            <w:noWrap/>
            <w:hideMark/>
          </w:tcPr>
          <w:p w14:paraId="400E8DEF"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p>
        </w:tc>
      </w:tr>
      <w:tr w:rsidR="00C37C27" w:rsidRPr="00FB3B0E" w14:paraId="21109FCF" w14:textId="77777777" w:rsidTr="00165A46">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1710" w:type="dxa"/>
            <w:noWrap/>
            <w:hideMark/>
          </w:tcPr>
          <w:p w14:paraId="70ACECE7" w14:textId="77777777" w:rsidR="001E39AF" w:rsidRPr="00FB3B0E" w:rsidRDefault="001E39AF" w:rsidP="001E39AF">
            <w:pPr>
              <w:spacing w:after="0" w:line="240" w:lineRule="auto"/>
              <w:rPr>
                <w:rFonts w:eastAsia="Times New Roman" w:cs="Times New Roman"/>
                <w:color w:val="000000"/>
                <w:sz w:val="22"/>
              </w:rPr>
            </w:pPr>
            <w:r w:rsidRPr="00FB3B0E">
              <w:rPr>
                <w:rFonts w:eastAsia="Times New Roman" w:cs="Times New Roman"/>
                <w:color w:val="000000"/>
                <w:sz w:val="22"/>
              </w:rPr>
              <w:t>Maintenance</w:t>
            </w:r>
          </w:p>
        </w:tc>
        <w:tc>
          <w:tcPr>
            <w:tcW w:w="6135" w:type="dxa"/>
            <w:gridSpan w:val="2"/>
            <w:hideMark/>
          </w:tcPr>
          <w:p w14:paraId="35094E35" w14:textId="39A42493" w:rsidR="001E39AF" w:rsidRPr="00FB3B0E" w:rsidRDefault="001E39AF" w:rsidP="001E39A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The Contractor shall be responsible for all patching and vulnerability management (PVM) of software and other systems’ components supporting services provided under this agreement so as to prevent proactively the exploitation of IT vulnerabilities that may exist within the Contractor’s operating environment</w:t>
            </w:r>
            <w:r w:rsidR="00D85030">
              <w:rPr>
                <w:rFonts w:eastAsia="Times New Roman" w:cs="Times New Roman"/>
                <w:color w:val="000000"/>
                <w:sz w:val="22"/>
              </w:rPr>
              <w:t xml:space="preserve">. </w:t>
            </w:r>
            <w:r w:rsidRPr="00FB3B0E">
              <w:rPr>
                <w:rFonts w:eastAsia="Times New Roman" w:cs="Times New Roman"/>
                <w:color w:val="000000"/>
                <w:sz w:val="22"/>
              </w:rPr>
              <w:t>Such patching and vulnerability management shall meet the requirements and recommendations of NIST SP 800-40, as amended, with special emphasis on assuring that the vendor</w:t>
            </w:r>
            <w:r w:rsidR="00D85030">
              <w:rPr>
                <w:rFonts w:eastAsia="Times New Roman" w:cs="Times New Roman"/>
                <w:color w:val="000000"/>
                <w:sz w:val="22"/>
              </w:rPr>
              <w:t>’s PVM systems and programs</w:t>
            </w:r>
            <w:r w:rsidRPr="00FB3B0E">
              <w:rPr>
                <w:rFonts w:eastAsia="Times New Roman" w:cs="Times New Roman"/>
                <w:color w:val="000000"/>
                <w:sz w:val="22"/>
              </w:rPr>
              <w:t xml:space="preserve"> app</w:t>
            </w:r>
            <w:r w:rsidR="00D85030">
              <w:rPr>
                <w:rFonts w:eastAsia="Times New Roman" w:cs="Times New Roman"/>
                <w:color w:val="000000"/>
                <w:sz w:val="22"/>
              </w:rPr>
              <w:t xml:space="preserve">ly standardized configurations </w:t>
            </w:r>
            <w:r w:rsidRPr="00FB3B0E">
              <w:rPr>
                <w:rFonts w:eastAsia="Times New Roman" w:cs="Times New Roman"/>
                <w:color w:val="000000"/>
                <w:sz w:val="22"/>
              </w:rPr>
              <w:t>with automated continuous monitoring of the same to assess and mitigate risks associated with known and unknown IT vulnerabilities in the Contractor’s operating environment</w:t>
            </w:r>
            <w:r w:rsidR="00D85030">
              <w:rPr>
                <w:rFonts w:eastAsia="Times New Roman" w:cs="Times New Roman"/>
                <w:color w:val="000000"/>
                <w:sz w:val="22"/>
              </w:rPr>
              <w:t xml:space="preserve">. </w:t>
            </w:r>
            <w:r w:rsidRPr="00FB3B0E">
              <w:rPr>
                <w:rFonts w:eastAsia="Times New Roman" w:cs="Times New Roman"/>
                <w:color w:val="000000"/>
                <w:sz w:val="22"/>
              </w:rPr>
              <w:t>Furthermore, the Contractor shall apply standardized and automated acceptable versioning control systems that use a centralized model to capture, store, and authorize all software development control functions on a shared device that is accessible to all developers authorized to revise software supporting the services provided under this agreement</w:t>
            </w:r>
            <w:r w:rsidR="00D85030">
              <w:rPr>
                <w:rFonts w:eastAsia="Times New Roman" w:cs="Times New Roman"/>
                <w:color w:val="000000"/>
                <w:sz w:val="22"/>
              </w:rPr>
              <w:t xml:space="preserve">. </w:t>
            </w:r>
            <w:r w:rsidRPr="00FB3B0E">
              <w:rPr>
                <w:rFonts w:eastAsia="Times New Roman" w:cs="Times New Roman"/>
                <w:color w:val="000000"/>
                <w:sz w:val="22"/>
              </w:rPr>
              <w:t>Such versioning control systems shall be configured and maintained so as to assure all software products deployed in the Contractor’s operating environment and serving the Government are compatible with existing systems and architecture of the Government.</w:t>
            </w:r>
          </w:p>
        </w:tc>
        <w:tc>
          <w:tcPr>
            <w:tcW w:w="795" w:type="dxa"/>
            <w:noWrap/>
            <w:hideMark/>
          </w:tcPr>
          <w:p w14:paraId="410A1D7F"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p>
        </w:tc>
        <w:tc>
          <w:tcPr>
            <w:tcW w:w="450" w:type="dxa"/>
            <w:noWrap/>
            <w:hideMark/>
          </w:tcPr>
          <w:p w14:paraId="3C1A6D99"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720" w:type="dxa"/>
            <w:noWrap/>
            <w:hideMark/>
          </w:tcPr>
          <w:p w14:paraId="5CEB65F7"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X</w:t>
            </w:r>
          </w:p>
        </w:tc>
        <w:tc>
          <w:tcPr>
            <w:tcW w:w="720" w:type="dxa"/>
            <w:noWrap/>
            <w:hideMark/>
          </w:tcPr>
          <w:p w14:paraId="4DB39756"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p>
        </w:tc>
        <w:tc>
          <w:tcPr>
            <w:tcW w:w="720" w:type="dxa"/>
            <w:noWrap/>
            <w:hideMark/>
          </w:tcPr>
          <w:p w14:paraId="7DC19994"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X</w:t>
            </w:r>
          </w:p>
        </w:tc>
        <w:tc>
          <w:tcPr>
            <w:tcW w:w="900" w:type="dxa"/>
            <w:noWrap/>
            <w:hideMark/>
          </w:tcPr>
          <w:p w14:paraId="072DACB8"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p>
        </w:tc>
        <w:tc>
          <w:tcPr>
            <w:tcW w:w="810" w:type="dxa"/>
            <w:gridSpan w:val="2"/>
            <w:noWrap/>
            <w:hideMark/>
          </w:tcPr>
          <w:p w14:paraId="7E47BC52"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r>
      <w:tr w:rsidR="001C1740" w:rsidRPr="00FB3B0E" w14:paraId="229F0EC6" w14:textId="77777777" w:rsidTr="00165A46">
        <w:trPr>
          <w:trHeight w:val="900"/>
          <w:jc w:val="center"/>
        </w:trPr>
        <w:tc>
          <w:tcPr>
            <w:cnfStyle w:val="001000000000" w:firstRow="0" w:lastRow="0" w:firstColumn="1" w:lastColumn="0" w:oddVBand="0" w:evenVBand="0" w:oddHBand="0" w:evenHBand="0" w:firstRowFirstColumn="0" w:firstRowLastColumn="0" w:lastRowFirstColumn="0" w:lastRowLastColumn="0"/>
            <w:tcW w:w="1710" w:type="dxa"/>
            <w:hideMark/>
          </w:tcPr>
          <w:p w14:paraId="15CF9228" w14:textId="77777777" w:rsidR="001E39AF" w:rsidRPr="00FB3B0E" w:rsidRDefault="001E39AF" w:rsidP="001E39AF">
            <w:pPr>
              <w:spacing w:after="0" w:line="240" w:lineRule="auto"/>
              <w:rPr>
                <w:rFonts w:eastAsia="Times New Roman" w:cs="Times New Roman"/>
                <w:color w:val="000000"/>
                <w:sz w:val="22"/>
              </w:rPr>
            </w:pPr>
            <w:r w:rsidRPr="00FB3B0E">
              <w:rPr>
                <w:rFonts w:eastAsia="Times New Roman" w:cs="Times New Roman"/>
                <w:color w:val="000000"/>
                <w:sz w:val="22"/>
              </w:rPr>
              <w:t>Misuse of Government Data and Metadata</w:t>
            </w:r>
          </w:p>
        </w:tc>
        <w:tc>
          <w:tcPr>
            <w:tcW w:w="6135" w:type="dxa"/>
            <w:gridSpan w:val="2"/>
            <w:hideMark/>
          </w:tcPr>
          <w:p w14:paraId="5726C6B8" w14:textId="3378DDF6" w:rsidR="001E39AF" w:rsidRPr="00FB3B0E" w:rsidRDefault="001E39AF" w:rsidP="001E39A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(1) The Contractor shall not access, use, or disclose Government data unless specifically authorized by the terms of this contract or a task order issued hereunder</w:t>
            </w:r>
            <w:r w:rsidR="00D85030">
              <w:rPr>
                <w:rFonts w:eastAsia="Times New Roman" w:cs="Times New Roman"/>
                <w:color w:val="000000"/>
                <w:sz w:val="22"/>
              </w:rPr>
              <w:t xml:space="preserve">. </w:t>
            </w:r>
            <w:r w:rsidRPr="00FB3B0E">
              <w:rPr>
                <w:rFonts w:eastAsia="Times New Roman" w:cs="Times New Roman"/>
                <w:color w:val="000000"/>
                <w:sz w:val="22"/>
              </w:rPr>
              <w:t>If authorized by the terms of this contract or a task order issued hereunder, any access to, or use or disclosure of, Government data shall only be for purposes specified in this contract or task order</w:t>
            </w:r>
            <w:r w:rsidR="00D85030">
              <w:rPr>
                <w:rFonts w:eastAsia="Times New Roman" w:cs="Times New Roman"/>
                <w:color w:val="000000"/>
                <w:sz w:val="22"/>
              </w:rPr>
              <w:t xml:space="preserve">. </w:t>
            </w:r>
            <w:r w:rsidRPr="00FB3B0E">
              <w:rPr>
                <w:rFonts w:eastAsia="Times New Roman" w:cs="Times New Roman"/>
                <w:color w:val="000000"/>
                <w:sz w:val="22"/>
              </w:rPr>
              <w:t>Contractor shall ensure that each of its employees and representatives, and any others (e.g., subcontractor employees) performing duties hereunder, shall, prior to obtaining access to any Government data, sign a contract or task order specific nondisclosure agreement.</w:t>
            </w:r>
          </w:p>
        </w:tc>
        <w:tc>
          <w:tcPr>
            <w:tcW w:w="795" w:type="dxa"/>
            <w:noWrap/>
            <w:hideMark/>
          </w:tcPr>
          <w:p w14:paraId="05A277E9"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X</w:t>
            </w:r>
          </w:p>
        </w:tc>
        <w:tc>
          <w:tcPr>
            <w:tcW w:w="450" w:type="dxa"/>
            <w:noWrap/>
            <w:hideMark/>
          </w:tcPr>
          <w:p w14:paraId="44DECACF"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X</w:t>
            </w:r>
          </w:p>
        </w:tc>
        <w:tc>
          <w:tcPr>
            <w:tcW w:w="720" w:type="dxa"/>
            <w:noWrap/>
            <w:hideMark/>
          </w:tcPr>
          <w:p w14:paraId="321744A3"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p>
        </w:tc>
        <w:tc>
          <w:tcPr>
            <w:tcW w:w="720" w:type="dxa"/>
            <w:noWrap/>
            <w:hideMark/>
          </w:tcPr>
          <w:p w14:paraId="41B0E819"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720" w:type="dxa"/>
            <w:noWrap/>
            <w:hideMark/>
          </w:tcPr>
          <w:p w14:paraId="3AC4DA7A"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900" w:type="dxa"/>
            <w:noWrap/>
            <w:hideMark/>
          </w:tcPr>
          <w:p w14:paraId="2CFE5A88"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810" w:type="dxa"/>
            <w:gridSpan w:val="2"/>
            <w:noWrap/>
            <w:hideMark/>
          </w:tcPr>
          <w:p w14:paraId="34E3CF93"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r>
      <w:tr w:rsidR="00C37C27" w:rsidRPr="00FB3B0E" w14:paraId="50B26E00" w14:textId="77777777" w:rsidTr="00165A46">
        <w:trPr>
          <w:cnfStyle w:val="000000100000" w:firstRow="0" w:lastRow="0" w:firstColumn="0" w:lastColumn="0" w:oddVBand="0" w:evenVBand="0" w:oddHBand="1" w:evenHBand="0" w:firstRowFirstColumn="0" w:firstRowLastColumn="0" w:lastRowFirstColumn="0" w:lastRowLastColumn="0"/>
          <w:trHeight w:val="845"/>
          <w:jc w:val="center"/>
        </w:trPr>
        <w:tc>
          <w:tcPr>
            <w:cnfStyle w:val="001000000000" w:firstRow="0" w:lastRow="0" w:firstColumn="1" w:lastColumn="0" w:oddVBand="0" w:evenVBand="0" w:oddHBand="0" w:evenHBand="0" w:firstRowFirstColumn="0" w:firstRowLastColumn="0" w:lastRowFirstColumn="0" w:lastRowLastColumn="0"/>
            <w:tcW w:w="1710" w:type="dxa"/>
            <w:hideMark/>
          </w:tcPr>
          <w:p w14:paraId="4B0689A3" w14:textId="77777777" w:rsidR="001E39AF" w:rsidRPr="00FB3B0E" w:rsidRDefault="001E39AF" w:rsidP="001E39AF">
            <w:pPr>
              <w:spacing w:after="0" w:line="240" w:lineRule="auto"/>
              <w:rPr>
                <w:rFonts w:eastAsia="Times New Roman" w:cs="Times New Roman"/>
                <w:color w:val="000000"/>
                <w:sz w:val="22"/>
              </w:rPr>
            </w:pPr>
            <w:r w:rsidRPr="00FB3B0E">
              <w:rPr>
                <w:rFonts w:eastAsia="Times New Roman" w:cs="Times New Roman"/>
                <w:color w:val="000000"/>
                <w:sz w:val="22"/>
              </w:rPr>
              <w:t>Misuse of Government Data and Metadata</w:t>
            </w:r>
          </w:p>
        </w:tc>
        <w:tc>
          <w:tcPr>
            <w:tcW w:w="6135" w:type="dxa"/>
            <w:gridSpan w:val="2"/>
            <w:hideMark/>
          </w:tcPr>
          <w:p w14:paraId="54DB0589" w14:textId="77777777" w:rsidR="001E39AF" w:rsidRPr="00FB3B0E" w:rsidRDefault="001E39AF" w:rsidP="001E39A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 xml:space="preserve">(2) The Contractor shall use Government-related data only to manage the operational environment that supports the government data and for no other purpose unless otherwise permitted with the prior written approval of the Contracting Officer. </w:t>
            </w:r>
          </w:p>
        </w:tc>
        <w:tc>
          <w:tcPr>
            <w:tcW w:w="795" w:type="dxa"/>
            <w:noWrap/>
            <w:hideMark/>
          </w:tcPr>
          <w:p w14:paraId="71703202"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X</w:t>
            </w:r>
          </w:p>
        </w:tc>
        <w:tc>
          <w:tcPr>
            <w:tcW w:w="450" w:type="dxa"/>
            <w:noWrap/>
            <w:hideMark/>
          </w:tcPr>
          <w:p w14:paraId="783B5D60"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X</w:t>
            </w:r>
          </w:p>
        </w:tc>
        <w:tc>
          <w:tcPr>
            <w:tcW w:w="720" w:type="dxa"/>
            <w:noWrap/>
            <w:hideMark/>
          </w:tcPr>
          <w:p w14:paraId="187A2663"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p>
        </w:tc>
        <w:tc>
          <w:tcPr>
            <w:tcW w:w="720" w:type="dxa"/>
            <w:noWrap/>
            <w:hideMark/>
          </w:tcPr>
          <w:p w14:paraId="211F56D8"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720" w:type="dxa"/>
            <w:noWrap/>
            <w:hideMark/>
          </w:tcPr>
          <w:p w14:paraId="4A535CC2"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900" w:type="dxa"/>
            <w:noWrap/>
            <w:hideMark/>
          </w:tcPr>
          <w:p w14:paraId="7B1A5278"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810" w:type="dxa"/>
            <w:gridSpan w:val="2"/>
            <w:noWrap/>
            <w:hideMark/>
          </w:tcPr>
          <w:p w14:paraId="3BDAB730"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r>
      <w:tr w:rsidR="001C1740" w:rsidRPr="00FB3B0E" w14:paraId="497D1CF8" w14:textId="77777777" w:rsidTr="00165A46">
        <w:trPr>
          <w:trHeight w:val="1016"/>
          <w:jc w:val="center"/>
        </w:trPr>
        <w:tc>
          <w:tcPr>
            <w:cnfStyle w:val="001000000000" w:firstRow="0" w:lastRow="0" w:firstColumn="1" w:lastColumn="0" w:oddVBand="0" w:evenVBand="0" w:oddHBand="0" w:evenHBand="0" w:firstRowFirstColumn="0" w:firstRowLastColumn="0" w:lastRowFirstColumn="0" w:lastRowLastColumn="0"/>
            <w:tcW w:w="1710" w:type="dxa"/>
            <w:hideMark/>
          </w:tcPr>
          <w:p w14:paraId="6832CD5D" w14:textId="77777777" w:rsidR="001E39AF" w:rsidRPr="00FB3B0E" w:rsidRDefault="001E39AF" w:rsidP="001E39AF">
            <w:pPr>
              <w:spacing w:after="0" w:line="240" w:lineRule="auto"/>
              <w:rPr>
                <w:rFonts w:eastAsia="Times New Roman" w:cs="Times New Roman"/>
                <w:color w:val="000000"/>
                <w:sz w:val="22"/>
              </w:rPr>
            </w:pPr>
            <w:r w:rsidRPr="00FB3B0E">
              <w:rPr>
                <w:rFonts w:eastAsia="Times New Roman" w:cs="Times New Roman"/>
                <w:color w:val="000000"/>
                <w:sz w:val="22"/>
              </w:rPr>
              <w:t>Misuse of Government Data and Metadata</w:t>
            </w:r>
          </w:p>
        </w:tc>
        <w:tc>
          <w:tcPr>
            <w:tcW w:w="6135" w:type="dxa"/>
            <w:gridSpan w:val="2"/>
            <w:hideMark/>
          </w:tcPr>
          <w:p w14:paraId="7FFD610B" w14:textId="77777777" w:rsidR="001E39AF" w:rsidRPr="00FB3B0E" w:rsidRDefault="001E39AF" w:rsidP="001E39A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(3) A breach of the obligations or restrictions set forth in (b)(1) and (b)(2) may subject the Contractor to criminal, civil, administrative, and contractual actions in law and equity for penalties, damages, and any other appropriate remedies by any party adversely affected by the breach.</w:t>
            </w:r>
          </w:p>
        </w:tc>
        <w:tc>
          <w:tcPr>
            <w:tcW w:w="795" w:type="dxa"/>
            <w:noWrap/>
            <w:hideMark/>
          </w:tcPr>
          <w:p w14:paraId="3680D14B"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X</w:t>
            </w:r>
          </w:p>
        </w:tc>
        <w:tc>
          <w:tcPr>
            <w:tcW w:w="450" w:type="dxa"/>
            <w:noWrap/>
            <w:hideMark/>
          </w:tcPr>
          <w:p w14:paraId="06E9EC1D"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p>
        </w:tc>
        <w:tc>
          <w:tcPr>
            <w:tcW w:w="720" w:type="dxa"/>
            <w:noWrap/>
            <w:hideMark/>
          </w:tcPr>
          <w:p w14:paraId="5713BB0C"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720" w:type="dxa"/>
            <w:noWrap/>
            <w:hideMark/>
          </w:tcPr>
          <w:p w14:paraId="2AFBA323"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720" w:type="dxa"/>
            <w:noWrap/>
            <w:hideMark/>
          </w:tcPr>
          <w:p w14:paraId="12AE3F26"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900" w:type="dxa"/>
            <w:noWrap/>
            <w:hideMark/>
          </w:tcPr>
          <w:p w14:paraId="41B94895"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810" w:type="dxa"/>
            <w:gridSpan w:val="2"/>
            <w:noWrap/>
            <w:hideMark/>
          </w:tcPr>
          <w:p w14:paraId="7C22434F"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r>
      <w:tr w:rsidR="00C37C27" w:rsidRPr="00FB3B0E" w14:paraId="44DD740A" w14:textId="77777777" w:rsidTr="00165A46">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1710" w:type="dxa"/>
            <w:noWrap/>
            <w:hideMark/>
          </w:tcPr>
          <w:p w14:paraId="5FCD25E4" w14:textId="77777777" w:rsidR="001E39AF" w:rsidRPr="00FB3B0E" w:rsidRDefault="001E39AF" w:rsidP="001E39AF">
            <w:pPr>
              <w:spacing w:after="0" w:line="240" w:lineRule="auto"/>
              <w:rPr>
                <w:rFonts w:eastAsia="Times New Roman" w:cs="Times New Roman"/>
                <w:color w:val="000000"/>
                <w:sz w:val="22"/>
              </w:rPr>
            </w:pPr>
            <w:r w:rsidRPr="00FB3B0E">
              <w:rPr>
                <w:rFonts w:eastAsia="Times New Roman" w:cs="Times New Roman"/>
                <w:color w:val="000000"/>
                <w:sz w:val="22"/>
              </w:rPr>
              <w:t>Non-Disclosure Agreements</w:t>
            </w:r>
          </w:p>
        </w:tc>
        <w:tc>
          <w:tcPr>
            <w:tcW w:w="6135" w:type="dxa"/>
            <w:gridSpan w:val="2"/>
            <w:hideMark/>
          </w:tcPr>
          <w:p w14:paraId="5C3386D3" w14:textId="77777777" w:rsidR="001E39AF" w:rsidRPr="00FB3B0E" w:rsidRDefault="001E39AF" w:rsidP="001E39A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See number 6, Organizational Conflict of Interest. Ensure that all contractors sign an NDA.</w:t>
            </w:r>
          </w:p>
        </w:tc>
        <w:tc>
          <w:tcPr>
            <w:tcW w:w="795" w:type="dxa"/>
            <w:noWrap/>
            <w:hideMark/>
          </w:tcPr>
          <w:p w14:paraId="3FC8352D"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p>
        </w:tc>
        <w:tc>
          <w:tcPr>
            <w:tcW w:w="450" w:type="dxa"/>
            <w:noWrap/>
            <w:hideMark/>
          </w:tcPr>
          <w:p w14:paraId="7EACE818"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720" w:type="dxa"/>
            <w:noWrap/>
            <w:hideMark/>
          </w:tcPr>
          <w:p w14:paraId="4A50DE60"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X</w:t>
            </w:r>
          </w:p>
        </w:tc>
        <w:tc>
          <w:tcPr>
            <w:tcW w:w="720" w:type="dxa"/>
            <w:noWrap/>
            <w:hideMark/>
          </w:tcPr>
          <w:p w14:paraId="1B6FD3E1"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p>
        </w:tc>
        <w:tc>
          <w:tcPr>
            <w:tcW w:w="720" w:type="dxa"/>
            <w:noWrap/>
            <w:hideMark/>
          </w:tcPr>
          <w:p w14:paraId="2C2031C3"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900" w:type="dxa"/>
            <w:noWrap/>
            <w:hideMark/>
          </w:tcPr>
          <w:p w14:paraId="6A21C334"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810" w:type="dxa"/>
            <w:gridSpan w:val="2"/>
            <w:noWrap/>
            <w:hideMark/>
          </w:tcPr>
          <w:p w14:paraId="2C4A9907"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r>
      <w:tr w:rsidR="001C1740" w:rsidRPr="00FB3B0E" w14:paraId="5F76F03E" w14:textId="77777777" w:rsidTr="00165A46">
        <w:trPr>
          <w:trHeight w:val="600"/>
          <w:jc w:val="center"/>
        </w:trPr>
        <w:tc>
          <w:tcPr>
            <w:cnfStyle w:val="001000000000" w:firstRow="0" w:lastRow="0" w:firstColumn="1" w:lastColumn="0" w:oddVBand="0" w:evenVBand="0" w:oddHBand="0" w:evenHBand="0" w:firstRowFirstColumn="0" w:firstRowLastColumn="0" w:lastRowFirstColumn="0" w:lastRowLastColumn="0"/>
            <w:tcW w:w="1710" w:type="dxa"/>
            <w:noWrap/>
            <w:hideMark/>
          </w:tcPr>
          <w:p w14:paraId="7EB97CF2" w14:textId="77777777" w:rsidR="001E39AF" w:rsidRPr="00FB3B0E" w:rsidRDefault="001E39AF" w:rsidP="001E39AF">
            <w:pPr>
              <w:spacing w:after="0" w:line="240" w:lineRule="auto"/>
              <w:rPr>
                <w:rFonts w:eastAsia="Times New Roman" w:cs="Times New Roman"/>
                <w:color w:val="000000"/>
                <w:sz w:val="22"/>
              </w:rPr>
            </w:pPr>
            <w:r w:rsidRPr="00FB3B0E">
              <w:rPr>
                <w:rFonts w:eastAsia="Times New Roman" w:cs="Times New Roman"/>
                <w:color w:val="000000"/>
                <w:sz w:val="22"/>
              </w:rPr>
              <w:t>Notification</w:t>
            </w:r>
          </w:p>
        </w:tc>
        <w:tc>
          <w:tcPr>
            <w:tcW w:w="6135" w:type="dxa"/>
            <w:gridSpan w:val="2"/>
            <w:hideMark/>
          </w:tcPr>
          <w:p w14:paraId="2CFB3D89" w14:textId="77777777" w:rsidR="001E39AF" w:rsidRPr="00FB3B0E" w:rsidRDefault="001E39AF" w:rsidP="001E39A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The Contractor shall notify the Government within 60 minutes of any warrants, seizures, or subpoenas it receives, including those from another Federal Agency that could result in the loss or unauthorized disclosure of any Government data. The Contractor shall cooperate with the Government to take all measures to protect Government data from any loss or unauthorized disclosure that might reasonably result from the execution of any such warrant, seizure, subpoena, or similar legal process.</w:t>
            </w:r>
          </w:p>
        </w:tc>
        <w:tc>
          <w:tcPr>
            <w:tcW w:w="795" w:type="dxa"/>
            <w:noWrap/>
            <w:hideMark/>
          </w:tcPr>
          <w:p w14:paraId="3D7480B8"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X</w:t>
            </w:r>
          </w:p>
        </w:tc>
        <w:tc>
          <w:tcPr>
            <w:tcW w:w="450" w:type="dxa"/>
            <w:noWrap/>
            <w:hideMark/>
          </w:tcPr>
          <w:p w14:paraId="397AE56A"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p>
        </w:tc>
        <w:tc>
          <w:tcPr>
            <w:tcW w:w="720" w:type="dxa"/>
            <w:noWrap/>
            <w:hideMark/>
          </w:tcPr>
          <w:p w14:paraId="3ABFF3CB"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720" w:type="dxa"/>
            <w:noWrap/>
            <w:hideMark/>
          </w:tcPr>
          <w:p w14:paraId="70F875E1"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720" w:type="dxa"/>
            <w:noWrap/>
            <w:hideMark/>
          </w:tcPr>
          <w:p w14:paraId="06CF2F5B"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900" w:type="dxa"/>
            <w:noWrap/>
            <w:hideMark/>
          </w:tcPr>
          <w:p w14:paraId="555857DA"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810" w:type="dxa"/>
            <w:gridSpan w:val="2"/>
            <w:noWrap/>
            <w:hideMark/>
          </w:tcPr>
          <w:p w14:paraId="392F1CF7"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X</w:t>
            </w:r>
          </w:p>
        </w:tc>
      </w:tr>
      <w:tr w:rsidR="00C37C27" w:rsidRPr="00FB3B0E" w14:paraId="18800212" w14:textId="77777777" w:rsidTr="00165A46">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1710" w:type="dxa"/>
            <w:noWrap/>
            <w:hideMark/>
          </w:tcPr>
          <w:p w14:paraId="70EB636C" w14:textId="77777777" w:rsidR="001E39AF" w:rsidRPr="00FB3B0E" w:rsidRDefault="001E39AF" w:rsidP="001E39AF">
            <w:pPr>
              <w:spacing w:after="0" w:line="240" w:lineRule="auto"/>
              <w:rPr>
                <w:rFonts w:eastAsia="Times New Roman" w:cs="Times New Roman"/>
                <w:color w:val="000000"/>
                <w:sz w:val="22"/>
              </w:rPr>
            </w:pPr>
            <w:r w:rsidRPr="00FB3B0E">
              <w:rPr>
                <w:rFonts w:eastAsia="Times New Roman" w:cs="Times New Roman"/>
                <w:color w:val="000000"/>
                <w:sz w:val="22"/>
              </w:rPr>
              <w:t>Personnel Access</w:t>
            </w:r>
          </w:p>
        </w:tc>
        <w:tc>
          <w:tcPr>
            <w:tcW w:w="6135" w:type="dxa"/>
            <w:gridSpan w:val="2"/>
            <w:hideMark/>
          </w:tcPr>
          <w:p w14:paraId="11520B77" w14:textId="77777777" w:rsidR="001E39AF" w:rsidRPr="00FB3B0E" w:rsidRDefault="001E39AF" w:rsidP="001E39A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The Contactor will require all employees who will have access to government data, the architecture that supports government data, or any physical or logical devices/code to pass the appropriate background investigation required by the Government in compliance with HSPD -12. At a minimum, all Contractor employees with access to the government data, the architecture that supports government data, or any physical or logical devices/code will pass a NACI investigation and be a US person as defined in Executive Order 12333.</w:t>
            </w:r>
          </w:p>
        </w:tc>
        <w:tc>
          <w:tcPr>
            <w:tcW w:w="795" w:type="dxa"/>
            <w:noWrap/>
            <w:hideMark/>
          </w:tcPr>
          <w:p w14:paraId="138E96FF"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p>
        </w:tc>
        <w:tc>
          <w:tcPr>
            <w:tcW w:w="450" w:type="dxa"/>
            <w:noWrap/>
            <w:hideMark/>
          </w:tcPr>
          <w:p w14:paraId="6043620B" w14:textId="0358B47F" w:rsidR="001E39AF" w:rsidRPr="00FB3B0E" w:rsidRDefault="007C3C21"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X</w:t>
            </w:r>
            <w:r>
              <w:rPr>
                <w:rStyle w:val="FootnoteReference"/>
                <w:rFonts w:eastAsia="Times New Roman" w:cs="Times New Roman"/>
                <w:color w:val="000000"/>
                <w:sz w:val="22"/>
              </w:rPr>
              <w:footnoteReference w:id="14"/>
            </w:r>
          </w:p>
        </w:tc>
        <w:tc>
          <w:tcPr>
            <w:tcW w:w="720" w:type="dxa"/>
            <w:noWrap/>
            <w:hideMark/>
          </w:tcPr>
          <w:p w14:paraId="14151CAF"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p>
        </w:tc>
        <w:tc>
          <w:tcPr>
            <w:tcW w:w="720" w:type="dxa"/>
            <w:noWrap/>
            <w:hideMark/>
          </w:tcPr>
          <w:p w14:paraId="08FA3381"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X</w:t>
            </w:r>
          </w:p>
        </w:tc>
        <w:tc>
          <w:tcPr>
            <w:tcW w:w="720" w:type="dxa"/>
            <w:noWrap/>
            <w:hideMark/>
          </w:tcPr>
          <w:p w14:paraId="01968BBF"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p>
        </w:tc>
        <w:tc>
          <w:tcPr>
            <w:tcW w:w="900" w:type="dxa"/>
            <w:noWrap/>
            <w:hideMark/>
          </w:tcPr>
          <w:p w14:paraId="077BD47D"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810" w:type="dxa"/>
            <w:gridSpan w:val="2"/>
            <w:noWrap/>
            <w:hideMark/>
          </w:tcPr>
          <w:p w14:paraId="3493786F"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r>
      <w:tr w:rsidR="001C1740" w:rsidRPr="00FB3B0E" w14:paraId="34489A82" w14:textId="77777777" w:rsidTr="00165A46">
        <w:trPr>
          <w:trHeight w:val="77"/>
          <w:jc w:val="center"/>
        </w:trPr>
        <w:tc>
          <w:tcPr>
            <w:cnfStyle w:val="001000000000" w:firstRow="0" w:lastRow="0" w:firstColumn="1" w:lastColumn="0" w:oddVBand="0" w:evenVBand="0" w:oddHBand="0" w:evenHBand="0" w:firstRowFirstColumn="0" w:firstRowLastColumn="0" w:lastRowFirstColumn="0" w:lastRowLastColumn="0"/>
            <w:tcW w:w="1710" w:type="dxa"/>
            <w:noWrap/>
            <w:hideMark/>
          </w:tcPr>
          <w:p w14:paraId="01DC302A" w14:textId="77777777" w:rsidR="001E39AF" w:rsidRPr="00FB3B0E" w:rsidRDefault="001E39AF" w:rsidP="001E39AF">
            <w:pPr>
              <w:spacing w:after="0" w:line="240" w:lineRule="auto"/>
              <w:rPr>
                <w:rFonts w:eastAsia="Times New Roman" w:cs="Times New Roman"/>
                <w:color w:val="000000"/>
                <w:sz w:val="22"/>
              </w:rPr>
            </w:pPr>
            <w:r w:rsidRPr="00FB3B0E">
              <w:rPr>
                <w:rFonts w:eastAsia="Times New Roman" w:cs="Times New Roman"/>
                <w:color w:val="000000"/>
                <w:sz w:val="22"/>
              </w:rPr>
              <w:t>Physical Access</w:t>
            </w:r>
          </w:p>
        </w:tc>
        <w:tc>
          <w:tcPr>
            <w:tcW w:w="6135" w:type="dxa"/>
            <w:gridSpan w:val="2"/>
            <w:hideMark/>
          </w:tcPr>
          <w:p w14:paraId="77307F41" w14:textId="072A8DEE" w:rsidR="001E39AF" w:rsidRPr="00FB3B0E" w:rsidRDefault="001E39AF" w:rsidP="001E39A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(1) The Contractor shall record all physical access to the cloud storage facilities and all logical access to the government data as specified in the Schedule</w:t>
            </w:r>
            <w:r w:rsidR="00D85030">
              <w:rPr>
                <w:rFonts w:eastAsia="Times New Roman" w:cs="Times New Roman"/>
                <w:color w:val="000000"/>
                <w:sz w:val="22"/>
              </w:rPr>
              <w:t xml:space="preserve">. </w:t>
            </w:r>
            <w:r w:rsidRPr="00FB3B0E">
              <w:rPr>
                <w:rFonts w:eastAsia="Times New Roman" w:cs="Times New Roman"/>
                <w:color w:val="000000"/>
                <w:sz w:val="22"/>
              </w:rPr>
              <w:t>This may include the entrant’s name, role, purpose, account identification, entry and exit time</w:t>
            </w:r>
            <w:r w:rsidR="00D85030">
              <w:rPr>
                <w:rFonts w:eastAsia="Times New Roman" w:cs="Times New Roman"/>
                <w:color w:val="000000"/>
                <w:sz w:val="22"/>
              </w:rPr>
              <w:t xml:space="preserve">. </w:t>
            </w:r>
            <w:r w:rsidRPr="00FB3B0E">
              <w:rPr>
                <w:rFonts w:eastAsia="Times New Roman" w:cs="Times New Roman"/>
                <w:color w:val="000000"/>
                <w:sz w:val="22"/>
              </w:rPr>
              <w:t>Such records shall be provided to the Contracting Officer or designee in accordance with the Schedule or upon request to comply with federal authorities.</w:t>
            </w:r>
          </w:p>
        </w:tc>
        <w:tc>
          <w:tcPr>
            <w:tcW w:w="795" w:type="dxa"/>
            <w:noWrap/>
            <w:hideMark/>
          </w:tcPr>
          <w:p w14:paraId="1A8EC775"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p>
        </w:tc>
        <w:tc>
          <w:tcPr>
            <w:tcW w:w="450" w:type="dxa"/>
            <w:noWrap/>
            <w:hideMark/>
          </w:tcPr>
          <w:p w14:paraId="7286966A"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X</w:t>
            </w:r>
          </w:p>
        </w:tc>
        <w:tc>
          <w:tcPr>
            <w:tcW w:w="720" w:type="dxa"/>
            <w:noWrap/>
            <w:hideMark/>
          </w:tcPr>
          <w:p w14:paraId="30454237"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p>
        </w:tc>
        <w:tc>
          <w:tcPr>
            <w:tcW w:w="720" w:type="dxa"/>
            <w:noWrap/>
            <w:hideMark/>
          </w:tcPr>
          <w:p w14:paraId="6C0A0C6C"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720" w:type="dxa"/>
            <w:noWrap/>
            <w:hideMark/>
          </w:tcPr>
          <w:p w14:paraId="588B8045"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900" w:type="dxa"/>
            <w:noWrap/>
            <w:hideMark/>
          </w:tcPr>
          <w:p w14:paraId="7AC4CCC7"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x</w:t>
            </w:r>
          </w:p>
        </w:tc>
        <w:tc>
          <w:tcPr>
            <w:tcW w:w="810" w:type="dxa"/>
            <w:gridSpan w:val="2"/>
            <w:noWrap/>
            <w:hideMark/>
          </w:tcPr>
          <w:p w14:paraId="6AF0D5D7"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p>
        </w:tc>
      </w:tr>
      <w:tr w:rsidR="00C37C27" w:rsidRPr="00FB3B0E" w14:paraId="4EE985D0" w14:textId="77777777" w:rsidTr="00165A46">
        <w:trPr>
          <w:cnfStyle w:val="000000100000" w:firstRow="0" w:lastRow="0" w:firstColumn="0" w:lastColumn="0" w:oddVBand="0" w:evenVBand="0" w:oddHBand="1" w:evenHBand="0" w:firstRowFirstColumn="0" w:firstRowLastColumn="0" w:lastRowFirstColumn="0" w:lastRowLastColumn="0"/>
          <w:trHeight w:val="2402"/>
          <w:jc w:val="center"/>
        </w:trPr>
        <w:tc>
          <w:tcPr>
            <w:cnfStyle w:val="001000000000" w:firstRow="0" w:lastRow="0" w:firstColumn="1" w:lastColumn="0" w:oddVBand="0" w:evenVBand="0" w:oddHBand="0" w:evenHBand="0" w:firstRowFirstColumn="0" w:firstRowLastColumn="0" w:lastRowFirstColumn="0" w:lastRowLastColumn="0"/>
            <w:tcW w:w="1710" w:type="dxa"/>
            <w:noWrap/>
            <w:hideMark/>
          </w:tcPr>
          <w:p w14:paraId="605C3B60" w14:textId="77777777" w:rsidR="001E39AF" w:rsidRPr="00FB3B0E" w:rsidRDefault="001E39AF" w:rsidP="001E39AF">
            <w:pPr>
              <w:spacing w:after="0" w:line="240" w:lineRule="auto"/>
              <w:rPr>
                <w:rFonts w:eastAsia="Times New Roman" w:cs="Times New Roman"/>
                <w:color w:val="000000"/>
                <w:sz w:val="22"/>
              </w:rPr>
            </w:pPr>
            <w:r w:rsidRPr="00FB3B0E">
              <w:rPr>
                <w:rFonts w:eastAsia="Times New Roman" w:cs="Times New Roman"/>
                <w:color w:val="000000"/>
                <w:sz w:val="22"/>
              </w:rPr>
              <w:t>Physical Access</w:t>
            </w:r>
          </w:p>
        </w:tc>
        <w:tc>
          <w:tcPr>
            <w:tcW w:w="6135" w:type="dxa"/>
            <w:gridSpan w:val="2"/>
            <w:hideMark/>
          </w:tcPr>
          <w:p w14:paraId="4D5EBD06" w14:textId="691BED12" w:rsidR="001E39AF" w:rsidRPr="00FB3B0E" w:rsidRDefault="001E39AF" w:rsidP="001E39A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(2) As specified by the Contracting Officer, the Contractor shall provide immediate access to all Government data and Government-related data impacting Government data for review, scan, or conduct of a forensic evaluation and physical access to any contractor facility with Government data</w:t>
            </w:r>
            <w:r w:rsidR="00D85030">
              <w:rPr>
                <w:rFonts w:eastAsia="Times New Roman" w:cs="Times New Roman"/>
                <w:color w:val="000000"/>
                <w:sz w:val="22"/>
              </w:rPr>
              <w:t xml:space="preserve">. </w:t>
            </w:r>
            <w:r w:rsidRPr="00FB3B0E">
              <w:rPr>
                <w:rFonts w:eastAsia="Times New Roman" w:cs="Times New Roman"/>
                <w:color w:val="000000"/>
                <w:sz w:val="22"/>
              </w:rPr>
              <w:t xml:space="preserve">If the Government data is co-located with the non-Government data, the Contractor shall isolate the Government data into an environment where it may be reviewed, scanned, or forensically evaluated in a secure space with access limited to authorized Government personnel identified by the Contracting Officer, and without the Contractor’s involvement. </w:t>
            </w:r>
          </w:p>
        </w:tc>
        <w:tc>
          <w:tcPr>
            <w:tcW w:w="795" w:type="dxa"/>
            <w:noWrap/>
            <w:hideMark/>
          </w:tcPr>
          <w:p w14:paraId="46865F47"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p>
        </w:tc>
        <w:tc>
          <w:tcPr>
            <w:tcW w:w="450" w:type="dxa"/>
            <w:noWrap/>
            <w:hideMark/>
          </w:tcPr>
          <w:p w14:paraId="2C02074D"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X</w:t>
            </w:r>
          </w:p>
        </w:tc>
        <w:tc>
          <w:tcPr>
            <w:tcW w:w="720" w:type="dxa"/>
            <w:noWrap/>
            <w:hideMark/>
          </w:tcPr>
          <w:p w14:paraId="64DEED03"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p>
        </w:tc>
        <w:tc>
          <w:tcPr>
            <w:tcW w:w="720" w:type="dxa"/>
            <w:noWrap/>
            <w:hideMark/>
          </w:tcPr>
          <w:p w14:paraId="57377656"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720" w:type="dxa"/>
            <w:noWrap/>
            <w:hideMark/>
          </w:tcPr>
          <w:p w14:paraId="05C3B0D0"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900" w:type="dxa"/>
            <w:noWrap/>
            <w:hideMark/>
          </w:tcPr>
          <w:p w14:paraId="3F62E0CC"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810" w:type="dxa"/>
            <w:gridSpan w:val="2"/>
            <w:noWrap/>
            <w:hideMark/>
          </w:tcPr>
          <w:p w14:paraId="4F56C5A7"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r>
      <w:tr w:rsidR="001C1740" w:rsidRPr="00FB3B0E" w14:paraId="23AC77D3" w14:textId="77777777" w:rsidTr="00165A46">
        <w:trPr>
          <w:trHeight w:val="764"/>
          <w:jc w:val="center"/>
        </w:trPr>
        <w:tc>
          <w:tcPr>
            <w:cnfStyle w:val="001000000000" w:firstRow="0" w:lastRow="0" w:firstColumn="1" w:lastColumn="0" w:oddVBand="0" w:evenVBand="0" w:oddHBand="0" w:evenHBand="0" w:firstRowFirstColumn="0" w:firstRowLastColumn="0" w:lastRowFirstColumn="0" w:lastRowLastColumn="0"/>
            <w:tcW w:w="1710" w:type="dxa"/>
            <w:noWrap/>
            <w:hideMark/>
          </w:tcPr>
          <w:p w14:paraId="6FBF56D9" w14:textId="77777777" w:rsidR="001E39AF" w:rsidRPr="00FB3B0E" w:rsidRDefault="001E39AF" w:rsidP="001E39AF">
            <w:pPr>
              <w:spacing w:after="0" w:line="240" w:lineRule="auto"/>
              <w:rPr>
                <w:rFonts w:eastAsia="Times New Roman" w:cs="Times New Roman"/>
                <w:color w:val="000000"/>
                <w:sz w:val="22"/>
              </w:rPr>
            </w:pPr>
            <w:r w:rsidRPr="00FB3B0E">
              <w:rPr>
                <w:rFonts w:eastAsia="Times New Roman" w:cs="Times New Roman"/>
                <w:color w:val="000000"/>
                <w:sz w:val="22"/>
              </w:rPr>
              <w:t>Records</w:t>
            </w:r>
          </w:p>
        </w:tc>
        <w:tc>
          <w:tcPr>
            <w:tcW w:w="6135" w:type="dxa"/>
            <w:gridSpan w:val="2"/>
            <w:hideMark/>
          </w:tcPr>
          <w:p w14:paraId="1A73BE51" w14:textId="77777777" w:rsidR="001E39AF" w:rsidRPr="00FB3B0E" w:rsidRDefault="001E39AF" w:rsidP="001E39A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 xml:space="preserve">(1) The Contractor shall provide the Contracting Officer all Government data and Government-related data in the format specified in the Schedule or as directed by the Contracting Officer. </w:t>
            </w:r>
          </w:p>
        </w:tc>
        <w:tc>
          <w:tcPr>
            <w:tcW w:w="795" w:type="dxa"/>
            <w:noWrap/>
            <w:hideMark/>
          </w:tcPr>
          <w:p w14:paraId="6558EA16"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X</w:t>
            </w:r>
          </w:p>
        </w:tc>
        <w:tc>
          <w:tcPr>
            <w:tcW w:w="450" w:type="dxa"/>
            <w:noWrap/>
            <w:hideMark/>
          </w:tcPr>
          <w:p w14:paraId="1F1944D5"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p>
        </w:tc>
        <w:tc>
          <w:tcPr>
            <w:tcW w:w="720" w:type="dxa"/>
            <w:noWrap/>
            <w:hideMark/>
          </w:tcPr>
          <w:p w14:paraId="27725601"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720" w:type="dxa"/>
            <w:noWrap/>
            <w:hideMark/>
          </w:tcPr>
          <w:p w14:paraId="685A27CC"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720" w:type="dxa"/>
            <w:noWrap/>
            <w:hideMark/>
          </w:tcPr>
          <w:p w14:paraId="65B5A93B"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900" w:type="dxa"/>
            <w:noWrap/>
            <w:hideMark/>
          </w:tcPr>
          <w:p w14:paraId="052A1A66"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x</w:t>
            </w:r>
          </w:p>
        </w:tc>
        <w:tc>
          <w:tcPr>
            <w:tcW w:w="810" w:type="dxa"/>
            <w:gridSpan w:val="2"/>
            <w:noWrap/>
            <w:hideMark/>
          </w:tcPr>
          <w:p w14:paraId="3B4365FD"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p>
        </w:tc>
      </w:tr>
      <w:tr w:rsidR="00C37C27" w:rsidRPr="00FB3B0E" w14:paraId="0A6AAED8" w14:textId="77777777" w:rsidTr="00165A46">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1710" w:type="dxa"/>
            <w:noWrap/>
            <w:hideMark/>
          </w:tcPr>
          <w:p w14:paraId="2A7D961F" w14:textId="77777777" w:rsidR="001E39AF" w:rsidRPr="00FB3B0E" w:rsidRDefault="001E39AF" w:rsidP="001E39AF">
            <w:pPr>
              <w:spacing w:after="0" w:line="240" w:lineRule="auto"/>
              <w:rPr>
                <w:rFonts w:eastAsia="Times New Roman" w:cs="Times New Roman"/>
                <w:color w:val="000000"/>
                <w:sz w:val="22"/>
              </w:rPr>
            </w:pPr>
            <w:r w:rsidRPr="00FB3B0E">
              <w:rPr>
                <w:rFonts w:eastAsia="Times New Roman" w:cs="Times New Roman"/>
                <w:color w:val="000000"/>
                <w:sz w:val="22"/>
              </w:rPr>
              <w:t>Records</w:t>
            </w:r>
          </w:p>
        </w:tc>
        <w:tc>
          <w:tcPr>
            <w:tcW w:w="6135" w:type="dxa"/>
            <w:gridSpan w:val="2"/>
            <w:hideMark/>
          </w:tcPr>
          <w:p w14:paraId="2EF4ED24" w14:textId="77777777" w:rsidR="001E39AF" w:rsidRPr="00FB3B0E" w:rsidRDefault="001E39AF" w:rsidP="001E39A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 xml:space="preserve">(2) The Contractor shall dispose of Government data and Government-related data in accordance with the Schedule and provide the confirmation of disposition to the Contracting Officer in accordance with contract closeout procedures. </w:t>
            </w:r>
          </w:p>
        </w:tc>
        <w:tc>
          <w:tcPr>
            <w:tcW w:w="795" w:type="dxa"/>
            <w:noWrap/>
            <w:hideMark/>
          </w:tcPr>
          <w:p w14:paraId="053A5BAB"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X</w:t>
            </w:r>
          </w:p>
        </w:tc>
        <w:tc>
          <w:tcPr>
            <w:tcW w:w="450" w:type="dxa"/>
            <w:noWrap/>
            <w:hideMark/>
          </w:tcPr>
          <w:p w14:paraId="2ADB5D94"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p>
        </w:tc>
        <w:tc>
          <w:tcPr>
            <w:tcW w:w="720" w:type="dxa"/>
            <w:noWrap/>
            <w:hideMark/>
          </w:tcPr>
          <w:p w14:paraId="3CA1C1EB"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720" w:type="dxa"/>
            <w:noWrap/>
            <w:hideMark/>
          </w:tcPr>
          <w:p w14:paraId="24993555"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720" w:type="dxa"/>
            <w:noWrap/>
            <w:hideMark/>
          </w:tcPr>
          <w:p w14:paraId="249FB301"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900" w:type="dxa"/>
            <w:noWrap/>
            <w:hideMark/>
          </w:tcPr>
          <w:p w14:paraId="1DA2FEE3"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810" w:type="dxa"/>
            <w:gridSpan w:val="2"/>
            <w:noWrap/>
            <w:hideMark/>
          </w:tcPr>
          <w:p w14:paraId="111915EC"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r>
      <w:tr w:rsidR="001C1740" w:rsidRPr="00FB3B0E" w14:paraId="6DFA1010" w14:textId="77777777" w:rsidTr="00165A46">
        <w:trPr>
          <w:trHeight w:val="737"/>
          <w:jc w:val="center"/>
        </w:trPr>
        <w:tc>
          <w:tcPr>
            <w:cnfStyle w:val="001000000000" w:firstRow="0" w:lastRow="0" w:firstColumn="1" w:lastColumn="0" w:oddVBand="0" w:evenVBand="0" w:oddHBand="0" w:evenHBand="0" w:firstRowFirstColumn="0" w:firstRowLastColumn="0" w:lastRowFirstColumn="0" w:lastRowLastColumn="0"/>
            <w:tcW w:w="1710" w:type="dxa"/>
            <w:noWrap/>
            <w:hideMark/>
          </w:tcPr>
          <w:p w14:paraId="39C2391C" w14:textId="77777777" w:rsidR="001E39AF" w:rsidRPr="00FB3B0E" w:rsidRDefault="001E39AF" w:rsidP="001E39AF">
            <w:pPr>
              <w:spacing w:after="0" w:line="240" w:lineRule="auto"/>
              <w:rPr>
                <w:rFonts w:eastAsia="Times New Roman" w:cs="Times New Roman"/>
                <w:color w:val="000000"/>
                <w:sz w:val="22"/>
              </w:rPr>
            </w:pPr>
            <w:r w:rsidRPr="00FB3B0E">
              <w:rPr>
                <w:rFonts w:eastAsia="Times New Roman" w:cs="Times New Roman"/>
                <w:color w:val="000000"/>
                <w:sz w:val="22"/>
              </w:rPr>
              <w:t>Records</w:t>
            </w:r>
          </w:p>
        </w:tc>
        <w:tc>
          <w:tcPr>
            <w:tcW w:w="6135" w:type="dxa"/>
            <w:gridSpan w:val="2"/>
            <w:hideMark/>
          </w:tcPr>
          <w:p w14:paraId="6B15BA31" w14:textId="5BACE55D" w:rsidR="001E39AF" w:rsidRPr="00FB3B0E" w:rsidRDefault="001E39AF" w:rsidP="001E39A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(3) The Contracting Officer may at any time issue a hold notification in writing to the Contractor</w:t>
            </w:r>
            <w:r w:rsidR="00D85030">
              <w:rPr>
                <w:rFonts w:eastAsia="Times New Roman" w:cs="Times New Roman"/>
                <w:color w:val="000000"/>
                <w:sz w:val="22"/>
              </w:rPr>
              <w:t xml:space="preserve">. </w:t>
            </w:r>
            <w:r w:rsidRPr="00FB3B0E">
              <w:rPr>
                <w:rFonts w:eastAsia="Times New Roman" w:cs="Times New Roman"/>
                <w:color w:val="000000"/>
                <w:sz w:val="22"/>
              </w:rPr>
              <w:t xml:space="preserve">At such time, the Contractor may not dispose of any Government data or Government-related data described in the hold notification until such time as the Contractor is notified in writing by the Contracting Officer, and shall preserve all such data in accordance with agency instructions. </w:t>
            </w:r>
          </w:p>
        </w:tc>
        <w:tc>
          <w:tcPr>
            <w:tcW w:w="795" w:type="dxa"/>
            <w:noWrap/>
            <w:hideMark/>
          </w:tcPr>
          <w:p w14:paraId="3B94CD88"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p>
        </w:tc>
        <w:tc>
          <w:tcPr>
            <w:tcW w:w="450" w:type="dxa"/>
            <w:noWrap/>
            <w:hideMark/>
          </w:tcPr>
          <w:p w14:paraId="569DAB41"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720" w:type="dxa"/>
            <w:noWrap/>
            <w:hideMark/>
          </w:tcPr>
          <w:p w14:paraId="79BFB613"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X</w:t>
            </w:r>
          </w:p>
        </w:tc>
        <w:tc>
          <w:tcPr>
            <w:tcW w:w="720" w:type="dxa"/>
            <w:noWrap/>
            <w:hideMark/>
          </w:tcPr>
          <w:p w14:paraId="4AB8F275"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p>
        </w:tc>
        <w:tc>
          <w:tcPr>
            <w:tcW w:w="720" w:type="dxa"/>
            <w:noWrap/>
            <w:hideMark/>
          </w:tcPr>
          <w:p w14:paraId="343A6093"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900" w:type="dxa"/>
            <w:noWrap/>
            <w:hideMark/>
          </w:tcPr>
          <w:p w14:paraId="3E97BAB9"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810" w:type="dxa"/>
            <w:gridSpan w:val="2"/>
            <w:noWrap/>
            <w:hideMark/>
          </w:tcPr>
          <w:p w14:paraId="5DE32472"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r>
      <w:tr w:rsidR="00C37C27" w:rsidRPr="00FB3B0E" w14:paraId="03CB3BF5" w14:textId="77777777" w:rsidTr="00165A46">
        <w:trPr>
          <w:cnfStyle w:val="000000100000" w:firstRow="0" w:lastRow="0" w:firstColumn="0" w:lastColumn="0" w:oddVBand="0" w:evenVBand="0" w:oddHBand="1" w:evenHBand="0" w:firstRowFirstColumn="0" w:firstRowLastColumn="0" w:lastRowFirstColumn="0" w:lastRowLastColumn="0"/>
          <w:trHeight w:val="575"/>
          <w:jc w:val="center"/>
        </w:trPr>
        <w:tc>
          <w:tcPr>
            <w:cnfStyle w:val="001000000000" w:firstRow="0" w:lastRow="0" w:firstColumn="1" w:lastColumn="0" w:oddVBand="0" w:evenVBand="0" w:oddHBand="0" w:evenHBand="0" w:firstRowFirstColumn="0" w:firstRowLastColumn="0" w:lastRowFirstColumn="0" w:lastRowLastColumn="0"/>
            <w:tcW w:w="1710" w:type="dxa"/>
            <w:noWrap/>
            <w:hideMark/>
          </w:tcPr>
          <w:p w14:paraId="2D47302C" w14:textId="77777777" w:rsidR="001E39AF" w:rsidRPr="00FB3B0E" w:rsidRDefault="001E39AF" w:rsidP="001E39AF">
            <w:pPr>
              <w:spacing w:after="0" w:line="240" w:lineRule="auto"/>
              <w:rPr>
                <w:rFonts w:eastAsia="Times New Roman" w:cs="Times New Roman"/>
                <w:color w:val="000000"/>
                <w:sz w:val="22"/>
              </w:rPr>
            </w:pPr>
            <w:r w:rsidRPr="00FB3B0E">
              <w:rPr>
                <w:rFonts w:eastAsia="Times New Roman" w:cs="Times New Roman"/>
                <w:color w:val="000000"/>
                <w:sz w:val="22"/>
              </w:rPr>
              <w:t>Records</w:t>
            </w:r>
          </w:p>
        </w:tc>
        <w:tc>
          <w:tcPr>
            <w:tcW w:w="6135" w:type="dxa"/>
            <w:gridSpan w:val="2"/>
            <w:hideMark/>
          </w:tcPr>
          <w:p w14:paraId="1F0FD34A" w14:textId="77777777" w:rsidR="001E39AF" w:rsidRPr="00FB3B0E" w:rsidRDefault="001E39AF" w:rsidP="001E39A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 xml:space="preserve">(4) The Contractor shall provide the Contracting Officer within 10 business days of receipt of any requests from a third party for Government-related data. </w:t>
            </w:r>
          </w:p>
        </w:tc>
        <w:tc>
          <w:tcPr>
            <w:tcW w:w="795" w:type="dxa"/>
            <w:noWrap/>
            <w:hideMark/>
          </w:tcPr>
          <w:p w14:paraId="3D29866A"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p>
        </w:tc>
        <w:tc>
          <w:tcPr>
            <w:tcW w:w="450" w:type="dxa"/>
            <w:noWrap/>
            <w:hideMark/>
          </w:tcPr>
          <w:p w14:paraId="7D1663C0"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720" w:type="dxa"/>
            <w:noWrap/>
            <w:hideMark/>
          </w:tcPr>
          <w:p w14:paraId="5EFDB562"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X</w:t>
            </w:r>
          </w:p>
        </w:tc>
        <w:tc>
          <w:tcPr>
            <w:tcW w:w="720" w:type="dxa"/>
            <w:noWrap/>
            <w:hideMark/>
          </w:tcPr>
          <w:p w14:paraId="46245B86"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p>
        </w:tc>
        <w:tc>
          <w:tcPr>
            <w:tcW w:w="720" w:type="dxa"/>
            <w:noWrap/>
            <w:hideMark/>
          </w:tcPr>
          <w:p w14:paraId="7BD8053C"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900" w:type="dxa"/>
            <w:noWrap/>
            <w:hideMark/>
          </w:tcPr>
          <w:p w14:paraId="294DBBAB"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810" w:type="dxa"/>
            <w:gridSpan w:val="2"/>
            <w:noWrap/>
            <w:hideMark/>
          </w:tcPr>
          <w:p w14:paraId="2625661D"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r>
      <w:tr w:rsidR="001C1740" w:rsidRPr="00FB3B0E" w14:paraId="29464EDA" w14:textId="77777777" w:rsidTr="00165A46">
        <w:trPr>
          <w:trHeight w:val="600"/>
          <w:jc w:val="center"/>
        </w:trPr>
        <w:tc>
          <w:tcPr>
            <w:cnfStyle w:val="001000000000" w:firstRow="0" w:lastRow="0" w:firstColumn="1" w:lastColumn="0" w:oddVBand="0" w:evenVBand="0" w:oddHBand="0" w:evenHBand="0" w:firstRowFirstColumn="0" w:firstRowLastColumn="0" w:lastRowFirstColumn="0" w:lastRowLastColumn="0"/>
            <w:tcW w:w="1710" w:type="dxa"/>
            <w:noWrap/>
            <w:hideMark/>
          </w:tcPr>
          <w:p w14:paraId="26C7DC2E" w14:textId="77777777" w:rsidR="001E39AF" w:rsidRPr="00FB3B0E" w:rsidRDefault="001E39AF" w:rsidP="001E39AF">
            <w:pPr>
              <w:spacing w:after="0" w:line="240" w:lineRule="auto"/>
              <w:rPr>
                <w:rFonts w:eastAsia="Times New Roman" w:cs="Times New Roman"/>
                <w:color w:val="000000"/>
                <w:sz w:val="22"/>
              </w:rPr>
            </w:pPr>
            <w:r w:rsidRPr="00FB3B0E">
              <w:rPr>
                <w:rFonts w:eastAsia="Times New Roman" w:cs="Times New Roman"/>
                <w:color w:val="000000"/>
                <w:sz w:val="22"/>
              </w:rPr>
              <w:t>Records</w:t>
            </w:r>
          </w:p>
        </w:tc>
        <w:tc>
          <w:tcPr>
            <w:tcW w:w="6135" w:type="dxa"/>
            <w:gridSpan w:val="2"/>
            <w:hideMark/>
          </w:tcPr>
          <w:p w14:paraId="5C5690B3" w14:textId="77777777" w:rsidR="001E39AF" w:rsidRPr="00FB3B0E" w:rsidRDefault="001E39AF" w:rsidP="001E39A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(5) When the Government is using a Contractor’s software, the Contractor shall provide the agency with access and the ability to search, retrieve, and produce Government data in a standard commercial format.</w:t>
            </w:r>
          </w:p>
        </w:tc>
        <w:tc>
          <w:tcPr>
            <w:tcW w:w="795" w:type="dxa"/>
            <w:noWrap/>
            <w:hideMark/>
          </w:tcPr>
          <w:p w14:paraId="7FFA0182"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p>
        </w:tc>
        <w:tc>
          <w:tcPr>
            <w:tcW w:w="450" w:type="dxa"/>
            <w:noWrap/>
            <w:hideMark/>
          </w:tcPr>
          <w:p w14:paraId="3518DA4E"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720" w:type="dxa"/>
            <w:noWrap/>
            <w:hideMark/>
          </w:tcPr>
          <w:p w14:paraId="157BA267"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X</w:t>
            </w:r>
          </w:p>
        </w:tc>
        <w:tc>
          <w:tcPr>
            <w:tcW w:w="720" w:type="dxa"/>
            <w:noWrap/>
            <w:hideMark/>
          </w:tcPr>
          <w:p w14:paraId="43120882"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p>
        </w:tc>
        <w:tc>
          <w:tcPr>
            <w:tcW w:w="720" w:type="dxa"/>
            <w:noWrap/>
            <w:hideMark/>
          </w:tcPr>
          <w:p w14:paraId="25DD3AD2"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900" w:type="dxa"/>
            <w:noWrap/>
            <w:hideMark/>
          </w:tcPr>
          <w:p w14:paraId="33264ABA"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810" w:type="dxa"/>
            <w:gridSpan w:val="2"/>
            <w:noWrap/>
            <w:hideMark/>
          </w:tcPr>
          <w:p w14:paraId="5F0DA380"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r>
      <w:tr w:rsidR="00C37C27" w:rsidRPr="00FB3B0E" w14:paraId="088C58AF" w14:textId="77777777" w:rsidTr="00165A46">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1710" w:type="dxa"/>
            <w:noWrap/>
            <w:hideMark/>
          </w:tcPr>
          <w:p w14:paraId="094BC383" w14:textId="77777777" w:rsidR="001E39AF" w:rsidRPr="00FB3B0E" w:rsidRDefault="001E39AF" w:rsidP="001E39AF">
            <w:pPr>
              <w:spacing w:after="0" w:line="240" w:lineRule="auto"/>
              <w:rPr>
                <w:rFonts w:eastAsia="Times New Roman" w:cs="Times New Roman"/>
                <w:color w:val="000000"/>
                <w:sz w:val="22"/>
              </w:rPr>
            </w:pPr>
            <w:r w:rsidRPr="00FB3B0E">
              <w:rPr>
                <w:rFonts w:eastAsia="Times New Roman" w:cs="Times New Roman"/>
                <w:color w:val="000000"/>
                <w:sz w:val="22"/>
              </w:rPr>
              <w:t>Spillage</w:t>
            </w:r>
          </w:p>
        </w:tc>
        <w:tc>
          <w:tcPr>
            <w:tcW w:w="6135" w:type="dxa"/>
            <w:gridSpan w:val="2"/>
            <w:hideMark/>
          </w:tcPr>
          <w:p w14:paraId="3A98228D" w14:textId="77777777" w:rsidR="001E39AF" w:rsidRPr="00FB3B0E" w:rsidRDefault="001E39AF" w:rsidP="001E39A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 xml:space="preserve">(1) Upon written notification by the Government of a spillage, the Contractor shall coordinate immediately with the responsible Government official to correct the spillage in compliance with agency-specific instructions. </w:t>
            </w:r>
          </w:p>
        </w:tc>
        <w:tc>
          <w:tcPr>
            <w:tcW w:w="795" w:type="dxa"/>
            <w:noWrap/>
            <w:hideMark/>
          </w:tcPr>
          <w:p w14:paraId="79724A45"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X</w:t>
            </w:r>
          </w:p>
        </w:tc>
        <w:tc>
          <w:tcPr>
            <w:tcW w:w="450" w:type="dxa"/>
            <w:noWrap/>
            <w:hideMark/>
          </w:tcPr>
          <w:p w14:paraId="30982B1C"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p>
        </w:tc>
        <w:tc>
          <w:tcPr>
            <w:tcW w:w="720" w:type="dxa"/>
            <w:noWrap/>
            <w:hideMark/>
          </w:tcPr>
          <w:p w14:paraId="58BA9654"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720" w:type="dxa"/>
            <w:noWrap/>
            <w:hideMark/>
          </w:tcPr>
          <w:p w14:paraId="09260776"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720" w:type="dxa"/>
            <w:noWrap/>
            <w:hideMark/>
          </w:tcPr>
          <w:p w14:paraId="12F8DF69"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900" w:type="dxa"/>
            <w:noWrap/>
            <w:hideMark/>
          </w:tcPr>
          <w:p w14:paraId="709F72B1"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810" w:type="dxa"/>
            <w:gridSpan w:val="2"/>
            <w:noWrap/>
            <w:hideMark/>
          </w:tcPr>
          <w:p w14:paraId="2FFFEF4E"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r>
      <w:tr w:rsidR="001C1740" w:rsidRPr="00FB3B0E" w14:paraId="5224DF72" w14:textId="77777777" w:rsidTr="00165A46">
        <w:trPr>
          <w:trHeight w:val="900"/>
          <w:jc w:val="center"/>
        </w:trPr>
        <w:tc>
          <w:tcPr>
            <w:cnfStyle w:val="001000000000" w:firstRow="0" w:lastRow="0" w:firstColumn="1" w:lastColumn="0" w:oddVBand="0" w:evenVBand="0" w:oddHBand="0" w:evenHBand="0" w:firstRowFirstColumn="0" w:firstRowLastColumn="0" w:lastRowFirstColumn="0" w:lastRowLastColumn="0"/>
            <w:tcW w:w="1710" w:type="dxa"/>
            <w:noWrap/>
            <w:hideMark/>
          </w:tcPr>
          <w:p w14:paraId="0B32E0C8" w14:textId="77777777" w:rsidR="001E39AF" w:rsidRPr="00FB3B0E" w:rsidRDefault="001E39AF" w:rsidP="001E39AF">
            <w:pPr>
              <w:spacing w:after="0" w:line="240" w:lineRule="auto"/>
              <w:rPr>
                <w:rFonts w:eastAsia="Times New Roman" w:cs="Times New Roman"/>
                <w:color w:val="000000"/>
                <w:sz w:val="22"/>
              </w:rPr>
            </w:pPr>
            <w:r w:rsidRPr="00FB3B0E">
              <w:rPr>
                <w:rFonts w:eastAsia="Times New Roman" w:cs="Times New Roman"/>
                <w:color w:val="000000"/>
                <w:sz w:val="22"/>
              </w:rPr>
              <w:t>Spillage</w:t>
            </w:r>
          </w:p>
        </w:tc>
        <w:tc>
          <w:tcPr>
            <w:tcW w:w="6135" w:type="dxa"/>
            <w:gridSpan w:val="2"/>
            <w:hideMark/>
          </w:tcPr>
          <w:p w14:paraId="39E61CC4" w14:textId="6C63714E" w:rsidR="001E39AF" w:rsidRPr="00FB3B0E" w:rsidRDefault="001E39AF" w:rsidP="001E39A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(2) If the Contractor incurs additional cost to correct the spillage, or the effort to correct the spillage causes a delay in the performance of any part of the work under this contract, and such costs or delays were not caused by any act or omission of the Contractor, an equitable adjustment shall be made under this clause and the contract modified in writing accordingly</w:t>
            </w:r>
            <w:r w:rsidR="00D85030">
              <w:rPr>
                <w:rFonts w:eastAsia="Times New Roman" w:cs="Times New Roman"/>
                <w:color w:val="000000"/>
                <w:sz w:val="22"/>
              </w:rPr>
              <w:t xml:space="preserve">. </w:t>
            </w:r>
          </w:p>
        </w:tc>
        <w:tc>
          <w:tcPr>
            <w:tcW w:w="795" w:type="dxa"/>
            <w:noWrap/>
            <w:hideMark/>
          </w:tcPr>
          <w:p w14:paraId="4BEA6950"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X</w:t>
            </w:r>
          </w:p>
        </w:tc>
        <w:tc>
          <w:tcPr>
            <w:tcW w:w="450" w:type="dxa"/>
            <w:noWrap/>
            <w:hideMark/>
          </w:tcPr>
          <w:p w14:paraId="7AD7014B"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p>
        </w:tc>
        <w:tc>
          <w:tcPr>
            <w:tcW w:w="720" w:type="dxa"/>
            <w:noWrap/>
            <w:hideMark/>
          </w:tcPr>
          <w:p w14:paraId="25599548"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720" w:type="dxa"/>
            <w:noWrap/>
            <w:hideMark/>
          </w:tcPr>
          <w:p w14:paraId="78C0A885"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720" w:type="dxa"/>
            <w:noWrap/>
            <w:hideMark/>
          </w:tcPr>
          <w:p w14:paraId="120DED75"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900" w:type="dxa"/>
            <w:noWrap/>
            <w:hideMark/>
          </w:tcPr>
          <w:p w14:paraId="3B5B4DCA"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810" w:type="dxa"/>
            <w:gridSpan w:val="2"/>
            <w:noWrap/>
            <w:hideMark/>
          </w:tcPr>
          <w:p w14:paraId="38C3FF45"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r>
      <w:tr w:rsidR="00C37C27" w:rsidRPr="00FB3B0E" w14:paraId="07AB6505" w14:textId="77777777" w:rsidTr="00165A46">
        <w:trPr>
          <w:cnfStyle w:val="000000100000" w:firstRow="0" w:lastRow="0" w:firstColumn="0" w:lastColumn="0" w:oddVBand="0" w:evenVBand="0" w:oddHBand="1" w:evenHBand="0" w:firstRowFirstColumn="0" w:firstRowLastColumn="0" w:lastRowFirstColumn="0" w:lastRowLastColumn="0"/>
          <w:trHeight w:val="944"/>
          <w:jc w:val="center"/>
        </w:trPr>
        <w:tc>
          <w:tcPr>
            <w:cnfStyle w:val="001000000000" w:firstRow="0" w:lastRow="0" w:firstColumn="1" w:lastColumn="0" w:oddVBand="0" w:evenVBand="0" w:oddHBand="0" w:evenHBand="0" w:firstRowFirstColumn="0" w:firstRowLastColumn="0" w:lastRowFirstColumn="0" w:lastRowLastColumn="0"/>
            <w:tcW w:w="1710" w:type="dxa"/>
            <w:noWrap/>
            <w:hideMark/>
          </w:tcPr>
          <w:p w14:paraId="6B9CE909" w14:textId="77777777" w:rsidR="001E39AF" w:rsidRPr="00FB3B0E" w:rsidRDefault="001E39AF" w:rsidP="001E39AF">
            <w:pPr>
              <w:spacing w:after="0" w:line="240" w:lineRule="auto"/>
              <w:rPr>
                <w:rFonts w:eastAsia="Times New Roman" w:cs="Times New Roman"/>
                <w:color w:val="000000"/>
                <w:sz w:val="22"/>
              </w:rPr>
            </w:pPr>
            <w:r w:rsidRPr="00FB3B0E">
              <w:rPr>
                <w:rFonts w:eastAsia="Times New Roman" w:cs="Times New Roman"/>
                <w:color w:val="000000"/>
                <w:sz w:val="22"/>
              </w:rPr>
              <w:t>Spillage</w:t>
            </w:r>
          </w:p>
        </w:tc>
        <w:tc>
          <w:tcPr>
            <w:tcW w:w="6135" w:type="dxa"/>
            <w:gridSpan w:val="2"/>
            <w:hideMark/>
          </w:tcPr>
          <w:p w14:paraId="7DA4E930" w14:textId="77777777" w:rsidR="001E39AF" w:rsidRPr="00FB3B0E" w:rsidRDefault="001E39AF" w:rsidP="001E39A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 xml:space="preserve">(3) No request by the Contractor for an equitable adjustment to the contract under this clause shall be allowed, unless the Contractor has given a written notice thereof within 30 days after the notification prescribed in paragraph (a) of this clause. </w:t>
            </w:r>
          </w:p>
        </w:tc>
        <w:tc>
          <w:tcPr>
            <w:tcW w:w="795" w:type="dxa"/>
            <w:noWrap/>
            <w:hideMark/>
          </w:tcPr>
          <w:p w14:paraId="3A92DE6F"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X</w:t>
            </w:r>
          </w:p>
        </w:tc>
        <w:tc>
          <w:tcPr>
            <w:tcW w:w="450" w:type="dxa"/>
            <w:noWrap/>
            <w:hideMark/>
          </w:tcPr>
          <w:p w14:paraId="2F6C15E0"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p>
        </w:tc>
        <w:tc>
          <w:tcPr>
            <w:tcW w:w="720" w:type="dxa"/>
            <w:noWrap/>
            <w:hideMark/>
          </w:tcPr>
          <w:p w14:paraId="60900C23"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720" w:type="dxa"/>
            <w:noWrap/>
            <w:hideMark/>
          </w:tcPr>
          <w:p w14:paraId="112E8BC9"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720" w:type="dxa"/>
            <w:noWrap/>
            <w:hideMark/>
          </w:tcPr>
          <w:p w14:paraId="41B5552B"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900" w:type="dxa"/>
            <w:noWrap/>
            <w:hideMark/>
          </w:tcPr>
          <w:p w14:paraId="64912078"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810" w:type="dxa"/>
            <w:gridSpan w:val="2"/>
            <w:noWrap/>
            <w:hideMark/>
          </w:tcPr>
          <w:p w14:paraId="2E97913C"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r>
      <w:tr w:rsidR="001C1740" w:rsidRPr="00FB3B0E" w14:paraId="6AE8F861" w14:textId="77777777" w:rsidTr="00165A46">
        <w:trPr>
          <w:trHeight w:val="647"/>
          <w:jc w:val="center"/>
        </w:trPr>
        <w:tc>
          <w:tcPr>
            <w:cnfStyle w:val="001000000000" w:firstRow="0" w:lastRow="0" w:firstColumn="1" w:lastColumn="0" w:oddVBand="0" w:evenVBand="0" w:oddHBand="0" w:evenHBand="0" w:firstRowFirstColumn="0" w:firstRowLastColumn="0" w:lastRowFirstColumn="0" w:lastRowLastColumn="0"/>
            <w:tcW w:w="1710" w:type="dxa"/>
            <w:noWrap/>
            <w:hideMark/>
          </w:tcPr>
          <w:p w14:paraId="554F2976" w14:textId="77777777" w:rsidR="001E39AF" w:rsidRPr="00FB3B0E" w:rsidRDefault="001E39AF" w:rsidP="001E39AF">
            <w:pPr>
              <w:spacing w:after="0" w:line="240" w:lineRule="auto"/>
              <w:rPr>
                <w:rFonts w:eastAsia="Times New Roman" w:cs="Times New Roman"/>
                <w:color w:val="000000"/>
                <w:sz w:val="22"/>
              </w:rPr>
            </w:pPr>
            <w:r w:rsidRPr="00FB3B0E">
              <w:rPr>
                <w:rFonts w:eastAsia="Times New Roman" w:cs="Times New Roman"/>
                <w:color w:val="000000"/>
                <w:sz w:val="22"/>
              </w:rPr>
              <w:t>Spillage</w:t>
            </w:r>
          </w:p>
        </w:tc>
        <w:tc>
          <w:tcPr>
            <w:tcW w:w="6135" w:type="dxa"/>
            <w:gridSpan w:val="2"/>
            <w:hideMark/>
          </w:tcPr>
          <w:p w14:paraId="58F679FE" w14:textId="77777777" w:rsidR="001E39AF" w:rsidRPr="00FB3B0E" w:rsidRDefault="001E39AF" w:rsidP="001E39A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 xml:space="preserve">(4) No request by the Contractor for an equitable adjustment to the contract due to a spillage shall be allowed if made after final payment under this contract. </w:t>
            </w:r>
          </w:p>
        </w:tc>
        <w:tc>
          <w:tcPr>
            <w:tcW w:w="795" w:type="dxa"/>
            <w:noWrap/>
            <w:hideMark/>
          </w:tcPr>
          <w:p w14:paraId="02B2F538"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X</w:t>
            </w:r>
          </w:p>
        </w:tc>
        <w:tc>
          <w:tcPr>
            <w:tcW w:w="450" w:type="dxa"/>
            <w:noWrap/>
            <w:hideMark/>
          </w:tcPr>
          <w:p w14:paraId="2676270F"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p>
        </w:tc>
        <w:tc>
          <w:tcPr>
            <w:tcW w:w="720" w:type="dxa"/>
            <w:noWrap/>
            <w:hideMark/>
          </w:tcPr>
          <w:p w14:paraId="1DC52965"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720" w:type="dxa"/>
            <w:noWrap/>
            <w:hideMark/>
          </w:tcPr>
          <w:p w14:paraId="2FD1C1FD"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720" w:type="dxa"/>
            <w:noWrap/>
            <w:hideMark/>
          </w:tcPr>
          <w:p w14:paraId="1D0BC687"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900" w:type="dxa"/>
            <w:noWrap/>
            <w:hideMark/>
          </w:tcPr>
          <w:p w14:paraId="67CBE4AF"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810" w:type="dxa"/>
            <w:gridSpan w:val="2"/>
            <w:noWrap/>
            <w:hideMark/>
          </w:tcPr>
          <w:p w14:paraId="1410FDE5"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r>
      <w:tr w:rsidR="00C37C27" w:rsidRPr="00FB3B0E" w14:paraId="0E5A671B" w14:textId="77777777" w:rsidTr="00165A46">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1710" w:type="dxa"/>
            <w:noWrap/>
            <w:hideMark/>
          </w:tcPr>
          <w:p w14:paraId="068D984E" w14:textId="77777777" w:rsidR="001E39AF" w:rsidRPr="00FB3B0E" w:rsidRDefault="001E39AF" w:rsidP="001E39AF">
            <w:pPr>
              <w:spacing w:after="0" w:line="240" w:lineRule="auto"/>
              <w:rPr>
                <w:rFonts w:eastAsia="Times New Roman" w:cs="Times New Roman"/>
                <w:color w:val="000000"/>
                <w:sz w:val="22"/>
              </w:rPr>
            </w:pPr>
            <w:r w:rsidRPr="00FB3B0E">
              <w:rPr>
                <w:rFonts w:eastAsia="Times New Roman" w:cs="Times New Roman"/>
                <w:color w:val="000000"/>
                <w:sz w:val="22"/>
              </w:rPr>
              <w:t>Spillage</w:t>
            </w:r>
          </w:p>
        </w:tc>
        <w:tc>
          <w:tcPr>
            <w:tcW w:w="6135" w:type="dxa"/>
            <w:gridSpan w:val="2"/>
            <w:hideMark/>
          </w:tcPr>
          <w:p w14:paraId="01188D94" w14:textId="77777777" w:rsidR="001E39AF" w:rsidRPr="00FB3B0E" w:rsidRDefault="001E39AF" w:rsidP="001E39A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(5) Any spill of data by the Contractor into the environment hosting Government Data, will be immediately reported to the Government POC (insert POC) and the Contractor will follow the Government's instructions to clean up the spill at the Contractor's expense.</w:t>
            </w:r>
          </w:p>
        </w:tc>
        <w:tc>
          <w:tcPr>
            <w:tcW w:w="795" w:type="dxa"/>
            <w:noWrap/>
            <w:hideMark/>
          </w:tcPr>
          <w:p w14:paraId="25FC24CF"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X</w:t>
            </w:r>
          </w:p>
        </w:tc>
        <w:tc>
          <w:tcPr>
            <w:tcW w:w="450" w:type="dxa"/>
            <w:noWrap/>
            <w:hideMark/>
          </w:tcPr>
          <w:p w14:paraId="551CDBF6"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p>
        </w:tc>
        <w:tc>
          <w:tcPr>
            <w:tcW w:w="720" w:type="dxa"/>
            <w:noWrap/>
            <w:hideMark/>
          </w:tcPr>
          <w:p w14:paraId="4F2F4BA3"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720" w:type="dxa"/>
            <w:noWrap/>
            <w:hideMark/>
          </w:tcPr>
          <w:p w14:paraId="64759783"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720" w:type="dxa"/>
            <w:noWrap/>
            <w:hideMark/>
          </w:tcPr>
          <w:p w14:paraId="0E425AA1"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900" w:type="dxa"/>
            <w:noWrap/>
            <w:hideMark/>
          </w:tcPr>
          <w:p w14:paraId="229B8465"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810" w:type="dxa"/>
            <w:gridSpan w:val="2"/>
            <w:noWrap/>
            <w:hideMark/>
          </w:tcPr>
          <w:p w14:paraId="4332C91E"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r>
      <w:tr w:rsidR="001C1740" w:rsidRPr="00FB3B0E" w14:paraId="6DF89A1F" w14:textId="77777777" w:rsidTr="00165A46">
        <w:trPr>
          <w:trHeight w:val="900"/>
          <w:jc w:val="center"/>
        </w:trPr>
        <w:tc>
          <w:tcPr>
            <w:cnfStyle w:val="001000000000" w:firstRow="0" w:lastRow="0" w:firstColumn="1" w:lastColumn="0" w:oddVBand="0" w:evenVBand="0" w:oddHBand="0" w:evenHBand="0" w:firstRowFirstColumn="0" w:firstRowLastColumn="0" w:lastRowFirstColumn="0" w:lastRowLastColumn="0"/>
            <w:tcW w:w="1710" w:type="dxa"/>
            <w:noWrap/>
            <w:hideMark/>
          </w:tcPr>
          <w:p w14:paraId="3D323D2B" w14:textId="77777777" w:rsidR="001E39AF" w:rsidRPr="00FB3B0E" w:rsidRDefault="001E39AF" w:rsidP="001E39AF">
            <w:pPr>
              <w:spacing w:after="0" w:line="240" w:lineRule="auto"/>
              <w:rPr>
                <w:rFonts w:eastAsia="Times New Roman" w:cs="Times New Roman"/>
                <w:color w:val="000000"/>
                <w:sz w:val="22"/>
              </w:rPr>
            </w:pPr>
            <w:r w:rsidRPr="00FB3B0E">
              <w:rPr>
                <w:rFonts w:eastAsia="Times New Roman" w:cs="Times New Roman"/>
                <w:color w:val="000000"/>
                <w:sz w:val="22"/>
              </w:rPr>
              <w:t>Supply Chain</w:t>
            </w:r>
          </w:p>
        </w:tc>
        <w:tc>
          <w:tcPr>
            <w:tcW w:w="6135" w:type="dxa"/>
            <w:gridSpan w:val="2"/>
            <w:hideMark/>
          </w:tcPr>
          <w:p w14:paraId="4B61639A" w14:textId="6A9CCCD5" w:rsidR="001E39AF" w:rsidRPr="00FB3B0E" w:rsidRDefault="001E39AF" w:rsidP="001E39A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(1) Supply Chain Risk Management (SCRM) Plan</w:t>
            </w:r>
            <w:r w:rsidR="00D85030">
              <w:rPr>
                <w:rFonts w:eastAsia="Times New Roman" w:cs="Times New Roman"/>
                <w:color w:val="000000"/>
                <w:sz w:val="22"/>
              </w:rPr>
              <w:t xml:space="preserve">. </w:t>
            </w:r>
            <w:r w:rsidRPr="00FB3B0E">
              <w:rPr>
                <w:rFonts w:eastAsia="Times New Roman" w:cs="Times New Roman"/>
                <w:color w:val="000000"/>
                <w:sz w:val="22"/>
              </w:rPr>
              <w:t>The offeror shall submit a SCRM plan as part of its technical proposal</w:t>
            </w:r>
            <w:r w:rsidR="00D85030">
              <w:rPr>
                <w:rFonts w:eastAsia="Times New Roman" w:cs="Times New Roman"/>
                <w:color w:val="000000"/>
                <w:sz w:val="22"/>
              </w:rPr>
              <w:t xml:space="preserve">. </w:t>
            </w:r>
            <w:r w:rsidRPr="00FB3B0E">
              <w:rPr>
                <w:rFonts w:eastAsia="Times New Roman" w:cs="Times New Roman"/>
                <w:color w:val="000000"/>
                <w:sz w:val="22"/>
              </w:rPr>
              <w:t xml:space="preserve">The SCRM plan shall describe the offeror’s approach to SCRM and demonstrate how the offeror’s approach will reduce and mitigate supply chain risks. The SCRM plan shall address: </w:t>
            </w:r>
          </w:p>
        </w:tc>
        <w:tc>
          <w:tcPr>
            <w:tcW w:w="795" w:type="dxa"/>
            <w:noWrap/>
            <w:hideMark/>
          </w:tcPr>
          <w:p w14:paraId="7236E1A2"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p>
        </w:tc>
        <w:tc>
          <w:tcPr>
            <w:tcW w:w="450" w:type="dxa"/>
            <w:noWrap/>
            <w:hideMark/>
          </w:tcPr>
          <w:p w14:paraId="3E7B0A20"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720" w:type="dxa"/>
            <w:noWrap/>
            <w:hideMark/>
          </w:tcPr>
          <w:p w14:paraId="11403449"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X</w:t>
            </w:r>
          </w:p>
        </w:tc>
        <w:tc>
          <w:tcPr>
            <w:tcW w:w="720" w:type="dxa"/>
            <w:noWrap/>
            <w:hideMark/>
          </w:tcPr>
          <w:p w14:paraId="67229302"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p>
        </w:tc>
        <w:tc>
          <w:tcPr>
            <w:tcW w:w="720" w:type="dxa"/>
            <w:noWrap/>
            <w:hideMark/>
          </w:tcPr>
          <w:p w14:paraId="346EA04C"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900" w:type="dxa"/>
            <w:noWrap/>
            <w:hideMark/>
          </w:tcPr>
          <w:p w14:paraId="13086505"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810" w:type="dxa"/>
            <w:gridSpan w:val="2"/>
            <w:noWrap/>
            <w:hideMark/>
          </w:tcPr>
          <w:p w14:paraId="44182963"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r>
      <w:tr w:rsidR="00C37C27" w:rsidRPr="00FB3B0E" w14:paraId="40564DBC" w14:textId="77777777" w:rsidTr="00165A46">
        <w:trPr>
          <w:cnfStyle w:val="000000100000" w:firstRow="0" w:lastRow="0" w:firstColumn="0" w:lastColumn="0" w:oddVBand="0" w:evenVBand="0" w:oddHBand="1" w:evenHBand="0" w:firstRowFirstColumn="0" w:firstRowLastColumn="0" w:lastRowFirstColumn="0" w:lastRowLastColumn="0"/>
          <w:trHeight w:val="1200"/>
          <w:jc w:val="center"/>
        </w:trPr>
        <w:tc>
          <w:tcPr>
            <w:cnfStyle w:val="001000000000" w:firstRow="0" w:lastRow="0" w:firstColumn="1" w:lastColumn="0" w:oddVBand="0" w:evenVBand="0" w:oddHBand="0" w:evenHBand="0" w:firstRowFirstColumn="0" w:firstRowLastColumn="0" w:lastRowFirstColumn="0" w:lastRowLastColumn="0"/>
            <w:tcW w:w="1710" w:type="dxa"/>
            <w:noWrap/>
            <w:hideMark/>
          </w:tcPr>
          <w:p w14:paraId="753D8B53" w14:textId="77777777" w:rsidR="001E39AF" w:rsidRPr="00FB3B0E" w:rsidRDefault="001E39AF" w:rsidP="001E39AF">
            <w:pPr>
              <w:spacing w:after="0" w:line="240" w:lineRule="auto"/>
              <w:rPr>
                <w:rFonts w:eastAsia="Times New Roman" w:cs="Times New Roman"/>
                <w:color w:val="000000"/>
                <w:sz w:val="22"/>
              </w:rPr>
            </w:pPr>
            <w:r w:rsidRPr="00FB3B0E">
              <w:rPr>
                <w:rFonts w:eastAsia="Times New Roman" w:cs="Times New Roman"/>
                <w:color w:val="000000"/>
                <w:sz w:val="22"/>
              </w:rPr>
              <w:t>Supply Chain</w:t>
            </w:r>
          </w:p>
        </w:tc>
        <w:tc>
          <w:tcPr>
            <w:tcW w:w="6135" w:type="dxa"/>
            <w:gridSpan w:val="2"/>
            <w:hideMark/>
          </w:tcPr>
          <w:p w14:paraId="5516D6ED" w14:textId="51033151" w:rsidR="001E39AF" w:rsidRPr="00FB3B0E" w:rsidRDefault="001E39AF" w:rsidP="001E39A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a. System Security Engineering</w:t>
            </w:r>
            <w:r w:rsidR="00D85030">
              <w:rPr>
                <w:rFonts w:eastAsia="Times New Roman" w:cs="Times New Roman"/>
                <w:color w:val="000000"/>
                <w:sz w:val="22"/>
              </w:rPr>
              <w:t xml:space="preserve">. </w:t>
            </w:r>
            <w:r w:rsidRPr="00FB3B0E">
              <w:rPr>
                <w:rFonts w:eastAsia="Times New Roman" w:cs="Times New Roman"/>
                <w:color w:val="000000"/>
                <w:sz w:val="22"/>
              </w:rPr>
              <w:t xml:space="preserve">The SCRM plan shall describe the offeror’s use of system security engineering processes in specifying and designing a system that is protected against external threats and against hardware and software vulnerabilities. </w:t>
            </w:r>
          </w:p>
        </w:tc>
        <w:tc>
          <w:tcPr>
            <w:tcW w:w="795" w:type="dxa"/>
            <w:noWrap/>
            <w:hideMark/>
          </w:tcPr>
          <w:p w14:paraId="684031F7"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p>
        </w:tc>
        <w:tc>
          <w:tcPr>
            <w:tcW w:w="450" w:type="dxa"/>
            <w:noWrap/>
            <w:hideMark/>
          </w:tcPr>
          <w:p w14:paraId="01C9B1D7"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720" w:type="dxa"/>
            <w:noWrap/>
            <w:hideMark/>
          </w:tcPr>
          <w:p w14:paraId="31B8482B"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X</w:t>
            </w:r>
          </w:p>
        </w:tc>
        <w:tc>
          <w:tcPr>
            <w:tcW w:w="720" w:type="dxa"/>
            <w:noWrap/>
            <w:hideMark/>
          </w:tcPr>
          <w:p w14:paraId="05B562E8"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p>
        </w:tc>
        <w:tc>
          <w:tcPr>
            <w:tcW w:w="720" w:type="dxa"/>
            <w:noWrap/>
            <w:hideMark/>
          </w:tcPr>
          <w:p w14:paraId="1AA01B20"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900" w:type="dxa"/>
            <w:noWrap/>
            <w:hideMark/>
          </w:tcPr>
          <w:p w14:paraId="0B3D60FC"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810" w:type="dxa"/>
            <w:gridSpan w:val="2"/>
            <w:noWrap/>
            <w:hideMark/>
          </w:tcPr>
          <w:p w14:paraId="4CBE6C87"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r>
      <w:tr w:rsidR="001C1740" w:rsidRPr="00FB3B0E" w14:paraId="5806DB92" w14:textId="77777777" w:rsidTr="00165A46">
        <w:trPr>
          <w:trHeight w:val="900"/>
          <w:jc w:val="center"/>
        </w:trPr>
        <w:tc>
          <w:tcPr>
            <w:cnfStyle w:val="001000000000" w:firstRow="0" w:lastRow="0" w:firstColumn="1" w:lastColumn="0" w:oddVBand="0" w:evenVBand="0" w:oddHBand="0" w:evenHBand="0" w:firstRowFirstColumn="0" w:firstRowLastColumn="0" w:lastRowFirstColumn="0" w:lastRowLastColumn="0"/>
            <w:tcW w:w="1710" w:type="dxa"/>
            <w:noWrap/>
            <w:hideMark/>
          </w:tcPr>
          <w:p w14:paraId="49F10534" w14:textId="77777777" w:rsidR="001E39AF" w:rsidRPr="00FB3B0E" w:rsidRDefault="001E39AF" w:rsidP="001E39AF">
            <w:pPr>
              <w:spacing w:after="0" w:line="240" w:lineRule="auto"/>
              <w:rPr>
                <w:rFonts w:eastAsia="Times New Roman" w:cs="Times New Roman"/>
                <w:color w:val="000000"/>
                <w:sz w:val="22"/>
              </w:rPr>
            </w:pPr>
            <w:r w:rsidRPr="00FB3B0E">
              <w:rPr>
                <w:rFonts w:eastAsia="Times New Roman" w:cs="Times New Roman"/>
                <w:color w:val="000000"/>
                <w:sz w:val="22"/>
              </w:rPr>
              <w:t>Supply Chain</w:t>
            </w:r>
          </w:p>
        </w:tc>
        <w:tc>
          <w:tcPr>
            <w:tcW w:w="6135" w:type="dxa"/>
            <w:gridSpan w:val="2"/>
            <w:hideMark/>
          </w:tcPr>
          <w:p w14:paraId="3E6188E9" w14:textId="6FC3F03D" w:rsidR="001E39AF" w:rsidRPr="00FB3B0E" w:rsidRDefault="001E39AF" w:rsidP="001E39A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b. Criticality Analysis. The SCRM plan shall include the criticality analysis (CA) process used by the offeror to determine Mission Critical Functions and the protection techniques (countermeasures and sub-countermeasures) used to achieve system protection and mission effectiveness</w:t>
            </w:r>
            <w:r w:rsidR="00D85030">
              <w:rPr>
                <w:rFonts w:eastAsia="Times New Roman" w:cs="Times New Roman"/>
                <w:color w:val="000000"/>
                <w:sz w:val="22"/>
              </w:rPr>
              <w:t xml:space="preserve">. </w:t>
            </w:r>
            <w:r w:rsidRPr="00FB3B0E">
              <w:rPr>
                <w:rFonts w:eastAsia="Times New Roman" w:cs="Times New Roman"/>
                <w:color w:val="000000"/>
                <w:sz w:val="22"/>
              </w:rPr>
              <w:t>The CA shall describe the offeror’s supply chain for all critical hardware and software components (and material included in products), key suppliers, and include proof of company ownership and location (on-shore or off-shore) for key suppliers and component manufacturers</w:t>
            </w:r>
            <w:r w:rsidR="00D85030">
              <w:rPr>
                <w:rFonts w:eastAsia="Times New Roman" w:cs="Times New Roman"/>
                <w:color w:val="000000"/>
                <w:sz w:val="22"/>
              </w:rPr>
              <w:t xml:space="preserve">. </w:t>
            </w:r>
            <w:r w:rsidRPr="00FB3B0E">
              <w:rPr>
                <w:rFonts w:eastAsia="Times New Roman" w:cs="Times New Roman"/>
                <w:color w:val="000000"/>
                <w:sz w:val="22"/>
              </w:rPr>
              <w:t>The CA shall identify critical functions and components (hardware, software, and firmware) in accordance with both DoDI 5200.44 “Protection of Mission critical Functions to Achieve Trusted Systems and Networks (TSN)”</w:t>
            </w:r>
            <w:r w:rsidR="00D85030">
              <w:rPr>
                <w:rFonts w:eastAsia="Times New Roman" w:cs="Times New Roman"/>
                <w:color w:val="000000"/>
                <w:sz w:val="22"/>
              </w:rPr>
              <w:t xml:space="preserve">. </w:t>
            </w:r>
            <w:r w:rsidRPr="00FB3B0E">
              <w:rPr>
                <w:rFonts w:eastAsia="Times New Roman" w:cs="Times New Roman"/>
                <w:color w:val="000000"/>
                <w:sz w:val="22"/>
              </w:rPr>
              <w:t xml:space="preserve">Criticality levels that support the CA are defined in the document “Office of the Under Secretary of Defense for Acquisition, Technology, and Logistics, “program Protection Plan Outline and Guidance,” July 18, 2011. </w:t>
            </w:r>
          </w:p>
        </w:tc>
        <w:tc>
          <w:tcPr>
            <w:tcW w:w="795" w:type="dxa"/>
            <w:noWrap/>
            <w:hideMark/>
          </w:tcPr>
          <w:p w14:paraId="3ECE3780"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p>
        </w:tc>
        <w:tc>
          <w:tcPr>
            <w:tcW w:w="450" w:type="dxa"/>
            <w:noWrap/>
            <w:hideMark/>
          </w:tcPr>
          <w:p w14:paraId="0833EFB6"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720" w:type="dxa"/>
            <w:noWrap/>
            <w:hideMark/>
          </w:tcPr>
          <w:p w14:paraId="4B7FD429"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X</w:t>
            </w:r>
          </w:p>
        </w:tc>
        <w:tc>
          <w:tcPr>
            <w:tcW w:w="720" w:type="dxa"/>
            <w:noWrap/>
            <w:hideMark/>
          </w:tcPr>
          <w:p w14:paraId="01FB07D5"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p>
        </w:tc>
        <w:tc>
          <w:tcPr>
            <w:tcW w:w="720" w:type="dxa"/>
            <w:noWrap/>
            <w:hideMark/>
          </w:tcPr>
          <w:p w14:paraId="16682F2D"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900" w:type="dxa"/>
            <w:noWrap/>
            <w:hideMark/>
          </w:tcPr>
          <w:p w14:paraId="35E69F0D"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810" w:type="dxa"/>
            <w:gridSpan w:val="2"/>
            <w:noWrap/>
            <w:hideMark/>
          </w:tcPr>
          <w:p w14:paraId="6B708E10"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r>
      <w:tr w:rsidR="00C37C27" w:rsidRPr="00FB3B0E" w14:paraId="661F4492" w14:textId="77777777" w:rsidTr="00165A46">
        <w:trPr>
          <w:cnfStyle w:val="000000100000" w:firstRow="0" w:lastRow="0" w:firstColumn="0" w:lastColumn="0" w:oddVBand="0" w:evenVBand="0" w:oddHBand="1" w:evenHBand="0" w:firstRowFirstColumn="0" w:firstRowLastColumn="0" w:lastRowFirstColumn="0" w:lastRowLastColumn="0"/>
          <w:trHeight w:val="2186"/>
          <w:jc w:val="center"/>
        </w:trPr>
        <w:tc>
          <w:tcPr>
            <w:cnfStyle w:val="001000000000" w:firstRow="0" w:lastRow="0" w:firstColumn="1" w:lastColumn="0" w:oddVBand="0" w:evenVBand="0" w:oddHBand="0" w:evenHBand="0" w:firstRowFirstColumn="0" w:firstRowLastColumn="0" w:lastRowFirstColumn="0" w:lastRowLastColumn="0"/>
            <w:tcW w:w="1710" w:type="dxa"/>
            <w:noWrap/>
            <w:hideMark/>
          </w:tcPr>
          <w:p w14:paraId="1A224F47" w14:textId="77777777" w:rsidR="001E39AF" w:rsidRPr="00FB3B0E" w:rsidRDefault="001E39AF" w:rsidP="001E39AF">
            <w:pPr>
              <w:spacing w:after="0" w:line="240" w:lineRule="auto"/>
              <w:rPr>
                <w:rFonts w:eastAsia="Times New Roman" w:cs="Times New Roman"/>
                <w:color w:val="000000"/>
                <w:sz w:val="22"/>
              </w:rPr>
            </w:pPr>
            <w:r w:rsidRPr="00FB3B0E">
              <w:rPr>
                <w:rFonts w:eastAsia="Times New Roman" w:cs="Times New Roman"/>
                <w:color w:val="000000"/>
                <w:sz w:val="22"/>
              </w:rPr>
              <w:t>Supply Chain</w:t>
            </w:r>
          </w:p>
        </w:tc>
        <w:tc>
          <w:tcPr>
            <w:tcW w:w="6135" w:type="dxa"/>
            <w:gridSpan w:val="2"/>
            <w:hideMark/>
          </w:tcPr>
          <w:p w14:paraId="3148051A" w14:textId="31C7E517" w:rsidR="001E39AF" w:rsidRPr="00FB3B0E" w:rsidRDefault="001E39AF" w:rsidP="001E39A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c. SCRM Security Controls</w:t>
            </w:r>
            <w:r w:rsidR="00D85030">
              <w:rPr>
                <w:rFonts w:eastAsia="Times New Roman" w:cs="Times New Roman"/>
                <w:color w:val="000000"/>
                <w:sz w:val="22"/>
              </w:rPr>
              <w:t xml:space="preserve">. </w:t>
            </w:r>
            <w:r w:rsidRPr="00FB3B0E">
              <w:rPr>
                <w:rFonts w:eastAsia="Times New Roman" w:cs="Times New Roman"/>
                <w:color w:val="000000"/>
                <w:sz w:val="22"/>
              </w:rPr>
              <w:t xml:space="preserve">The SCRM plan shall describe the offeror’s strategy for implementing of SCRM security requirements throughout the life of the contract. The SCRM plan shall address the security controls (at a minimum SA-12) described in National Institute of Standards &amp; Technology (NIST) Special Publication 800-53 Revision 4 (current version), Recommended Security Controls for Federal Information Systems and Organizations (http://csrc.nist.gov/publications/PubsSPs.html), and should be tailored in scope to the effort and the specific unclassified DoD information. </w:t>
            </w:r>
          </w:p>
        </w:tc>
        <w:tc>
          <w:tcPr>
            <w:tcW w:w="795" w:type="dxa"/>
            <w:noWrap/>
            <w:hideMark/>
          </w:tcPr>
          <w:p w14:paraId="32F873AA"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p>
        </w:tc>
        <w:tc>
          <w:tcPr>
            <w:tcW w:w="450" w:type="dxa"/>
            <w:noWrap/>
            <w:hideMark/>
          </w:tcPr>
          <w:p w14:paraId="007A0399"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720" w:type="dxa"/>
            <w:noWrap/>
            <w:hideMark/>
          </w:tcPr>
          <w:p w14:paraId="63E8B8F4"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X</w:t>
            </w:r>
          </w:p>
        </w:tc>
        <w:tc>
          <w:tcPr>
            <w:tcW w:w="720" w:type="dxa"/>
            <w:noWrap/>
            <w:hideMark/>
          </w:tcPr>
          <w:p w14:paraId="720C6791"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p>
        </w:tc>
        <w:tc>
          <w:tcPr>
            <w:tcW w:w="720" w:type="dxa"/>
            <w:noWrap/>
            <w:hideMark/>
          </w:tcPr>
          <w:p w14:paraId="60EE25CD"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900" w:type="dxa"/>
            <w:noWrap/>
            <w:hideMark/>
          </w:tcPr>
          <w:p w14:paraId="2B2D1AB1"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810" w:type="dxa"/>
            <w:gridSpan w:val="2"/>
            <w:noWrap/>
            <w:hideMark/>
          </w:tcPr>
          <w:p w14:paraId="7C65BD62"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r>
      <w:tr w:rsidR="001C1740" w:rsidRPr="00FB3B0E" w14:paraId="4F6F05AA" w14:textId="77777777" w:rsidTr="00165A46">
        <w:trPr>
          <w:trHeight w:val="710"/>
          <w:jc w:val="center"/>
        </w:trPr>
        <w:tc>
          <w:tcPr>
            <w:cnfStyle w:val="001000000000" w:firstRow="0" w:lastRow="0" w:firstColumn="1" w:lastColumn="0" w:oddVBand="0" w:evenVBand="0" w:oddHBand="0" w:evenHBand="0" w:firstRowFirstColumn="0" w:firstRowLastColumn="0" w:lastRowFirstColumn="0" w:lastRowLastColumn="0"/>
            <w:tcW w:w="1710" w:type="dxa"/>
            <w:noWrap/>
            <w:hideMark/>
          </w:tcPr>
          <w:p w14:paraId="58968B80" w14:textId="77777777" w:rsidR="001E39AF" w:rsidRPr="00FB3B0E" w:rsidRDefault="001E39AF" w:rsidP="001E39AF">
            <w:pPr>
              <w:spacing w:after="0" w:line="240" w:lineRule="auto"/>
              <w:rPr>
                <w:rFonts w:eastAsia="Times New Roman" w:cs="Times New Roman"/>
                <w:color w:val="000000"/>
                <w:sz w:val="22"/>
              </w:rPr>
            </w:pPr>
            <w:r w:rsidRPr="00FB3B0E">
              <w:rPr>
                <w:rFonts w:eastAsia="Times New Roman" w:cs="Times New Roman"/>
                <w:color w:val="000000"/>
                <w:sz w:val="22"/>
              </w:rPr>
              <w:t>Supply Chain</w:t>
            </w:r>
          </w:p>
        </w:tc>
        <w:tc>
          <w:tcPr>
            <w:tcW w:w="6135" w:type="dxa"/>
            <w:gridSpan w:val="2"/>
            <w:hideMark/>
          </w:tcPr>
          <w:p w14:paraId="22728E03" w14:textId="77777777" w:rsidR="001E39AF" w:rsidRPr="00FB3B0E" w:rsidRDefault="001E39AF" w:rsidP="001E39A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 xml:space="preserve">d. Delivery Mechanisms. The SCRM plan shall describe the offeror’s physical and logical delivery mechanisms to protect against unauthorized access, exposure of system components, information misuse, unauthorized modification, or redirection; </w:t>
            </w:r>
          </w:p>
        </w:tc>
        <w:tc>
          <w:tcPr>
            <w:tcW w:w="795" w:type="dxa"/>
            <w:noWrap/>
            <w:hideMark/>
          </w:tcPr>
          <w:p w14:paraId="1FBEBAC5"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p>
        </w:tc>
        <w:tc>
          <w:tcPr>
            <w:tcW w:w="450" w:type="dxa"/>
            <w:noWrap/>
            <w:hideMark/>
          </w:tcPr>
          <w:p w14:paraId="730FDB73"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720" w:type="dxa"/>
            <w:noWrap/>
            <w:hideMark/>
          </w:tcPr>
          <w:p w14:paraId="4262BA59"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X</w:t>
            </w:r>
          </w:p>
        </w:tc>
        <w:tc>
          <w:tcPr>
            <w:tcW w:w="720" w:type="dxa"/>
            <w:noWrap/>
            <w:hideMark/>
          </w:tcPr>
          <w:p w14:paraId="6093ADA4"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p>
        </w:tc>
        <w:tc>
          <w:tcPr>
            <w:tcW w:w="720" w:type="dxa"/>
            <w:noWrap/>
            <w:hideMark/>
          </w:tcPr>
          <w:p w14:paraId="1C794718"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900" w:type="dxa"/>
            <w:noWrap/>
            <w:hideMark/>
          </w:tcPr>
          <w:p w14:paraId="73A92760"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810" w:type="dxa"/>
            <w:gridSpan w:val="2"/>
            <w:noWrap/>
            <w:hideMark/>
          </w:tcPr>
          <w:p w14:paraId="3B588EE7"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r>
      <w:tr w:rsidR="00C37C27" w:rsidRPr="00FB3B0E" w14:paraId="6AB71FD5" w14:textId="77777777" w:rsidTr="00165A46">
        <w:trPr>
          <w:cnfStyle w:val="000000100000" w:firstRow="0" w:lastRow="0" w:firstColumn="0" w:lastColumn="0" w:oddVBand="0" w:evenVBand="0" w:oddHBand="1" w:evenHBand="0" w:firstRowFirstColumn="0" w:firstRowLastColumn="0" w:lastRowFirstColumn="0" w:lastRowLastColumn="0"/>
          <w:trHeight w:val="584"/>
          <w:jc w:val="center"/>
        </w:trPr>
        <w:tc>
          <w:tcPr>
            <w:cnfStyle w:val="001000000000" w:firstRow="0" w:lastRow="0" w:firstColumn="1" w:lastColumn="0" w:oddVBand="0" w:evenVBand="0" w:oddHBand="0" w:evenHBand="0" w:firstRowFirstColumn="0" w:firstRowLastColumn="0" w:lastRowFirstColumn="0" w:lastRowLastColumn="0"/>
            <w:tcW w:w="1710" w:type="dxa"/>
            <w:noWrap/>
            <w:hideMark/>
          </w:tcPr>
          <w:p w14:paraId="71392B1D" w14:textId="77777777" w:rsidR="001E39AF" w:rsidRPr="00FB3B0E" w:rsidRDefault="001E39AF" w:rsidP="001E39AF">
            <w:pPr>
              <w:spacing w:after="0" w:line="240" w:lineRule="auto"/>
              <w:rPr>
                <w:rFonts w:eastAsia="Times New Roman" w:cs="Times New Roman"/>
                <w:color w:val="000000"/>
                <w:sz w:val="22"/>
              </w:rPr>
            </w:pPr>
            <w:r w:rsidRPr="00FB3B0E">
              <w:rPr>
                <w:rFonts w:eastAsia="Times New Roman" w:cs="Times New Roman"/>
                <w:color w:val="000000"/>
                <w:sz w:val="22"/>
              </w:rPr>
              <w:t>Supply Chain</w:t>
            </w:r>
          </w:p>
        </w:tc>
        <w:tc>
          <w:tcPr>
            <w:tcW w:w="6135" w:type="dxa"/>
            <w:gridSpan w:val="2"/>
            <w:hideMark/>
          </w:tcPr>
          <w:p w14:paraId="3937E801" w14:textId="5CBC81D5" w:rsidR="001E39AF" w:rsidRPr="00FB3B0E" w:rsidRDefault="001E39AF" w:rsidP="001E39A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e. Operational and Disposal Processes</w:t>
            </w:r>
            <w:r w:rsidR="00D85030">
              <w:rPr>
                <w:rFonts w:eastAsia="Times New Roman" w:cs="Times New Roman"/>
                <w:color w:val="000000"/>
                <w:sz w:val="22"/>
              </w:rPr>
              <w:t xml:space="preserve">. </w:t>
            </w:r>
            <w:r w:rsidRPr="00FB3B0E">
              <w:rPr>
                <w:rFonts w:eastAsia="Times New Roman" w:cs="Times New Roman"/>
                <w:color w:val="000000"/>
                <w:sz w:val="22"/>
              </w:rPr>
              <w:t xml:space="preserve">The SCRM plan shall describe the offeror’s operational processes (during maintenance, upgrade, patching, element replacement, or other sustainment activities) and disposal processes that limit opportunities to knowledge exposure, data release, or system compromise. </w:t>
            </w:r>
          </w:p>
        </w:tc>
        <w:tc>
          <w:tcPr>
            <w:tcW w:w="795" w:type="dxa"/>
            <w:noWrap/>
            <w:hideMark/>
          </w:tcPr>
          <w:p w14:paraId="30CC3A91"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p>
        </w:tc>
        <w:tc>
          <w:tcPr>
            <w:tcW w:w="450" w:type="dxa"/>
            <w:noWrap/>
            <w:hideMark/>
          </w:tcPr>
          <w:p w14:paraId="25EF9C1A"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720" w:type="dxa"/>
            <w:noWrap/>
            <w:hideMark/>
          </w:tcPr>
          <w:p w14:paraId="74445999"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X</w:t>
            </w:r>
          </w:p>
        </w:tc>
        <w:tc>
          <w:tcPr>
            <w:tcW w:w="720" w:type="dxa"/>
            <w:noWrap/>
            <w:hideMark/>
          </w:tcPr>
          <w:p w14:paraId="7D2E3FB5"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p>
        </w:tc>
        <w:tc>
          <w:tcPr>
            <w:tcW w:w="720" w:type="dxa"/>
            <w:noWrap/>
            <w:hideMark/>
          </w:tcPr>
          <w:p w14:paraId="724F1024"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900" w:type="dxa"/>
            <w:noWrap/>
            <w:hideMark/>
          </w:tcPr>
          <w:p w14:paraId="5E2B2BFD"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810" w:type="dxa"/>
            <w:gridSpan w:val="2"/>
            <w:noWrap/>
            <w:hideMark/>
          </w:tcPr>
          <w:p w14:paraId="39436CF1"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r>
      <w:tr w:rsidR="001C1740" w:rsidRPr="00FB3B0E" w14:paraId="0F958C41" w14:textId="77777777" w:rsidTr="00165A46">
        <w:trPr>
          <w:trHeight w:val="490"/>
          <w:jc w:val="center"/>
        </w:trPr>
        <w:tc>
          <w:tcPr>
            <w:cnfStyle w:val="001000000000" w:firstRow="0" w:lastRow="0" w:firstColumn="1" w:lastColumn="0" w:oddVBand="0" w:evenVBand="0" w:oddHBand="0" w:evenHBand="0" w:firstRowFirstColumn="0" w:firstRowLastColumn="0" w:lastRowFirstColumn="0" w:lastRowLastColumn="0"/>
            <w:tcW w:w="1710" w:type="dxa"/>
            <w:noWrap/>
            <w:hideMark/>
          </w:tcPr>
          <w:p w14:paraId="0E4D16C2" w14:textId="77777777" w:rsidR="001E39AF" w:rsidRPr="00FB3B0E" w:rsidRDefault="001E39AF" w:rsidP="001E39AF">
            <w:pPr>
              <w:spacing w:after="0" w:line="240" w:lineRule="auto"/>
              <w:rPr>
                <w:rFonts w:eastAsia="Times New Roman" w:cs="Times New Roman"/>
                <w:color w:val="000000"/>
                <w:sz w:val="22"/>
              </w:rPr>
            </w:pPr>
            <w:r w:rsidRPr="00FB3B0E">
              <w:rPr>
                <w:rFonts w:eastAsia="Times New Roman" w:cs="Times New Roman"/>
                <w:color w:val="000000"/>
                <w:sz w:val="22"/>
              </w:rPr>
              <w:t>Supply Chain</w:t>
            </w:r>
          </w:p>
        </w:tc>
        <w:tc>
          <w:tcPr>
            <w:tcW w:w="6135" w:type="dxa"/>
            <w:gridSpan w:val="2"/>
            <w:hideMark/>
          </w:tcPr>
          <w:p w14:paraId="3E6EC4ED" w14:textId="77777777" w:rsidR="001E39AF" w:rsidRPr="00FB3B0E" w:rsidRDefault="001E39AF" w:rsidP="001E39A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 xml:space="preserve">f. SCRM Training/Awareness Program. </w:t>
            </w:r>
          </w:p>
        </w:tc>
        <w:tc>
          <w:tcPr>
            <w:tcW w:w="795" w:type="dxa"/>
            <w:noWrap/>
            <w:hideMark/>
          </w:tcPr>
          <w:p w14:paraId="3A8597A2"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p>
        </w:tc>
        <w:tc>
          <w:tcPr>
            <w:tcW w:w="450" w:type="dxa"/>
            <w:noWrap/>
            <w:hideMark/>
          </w:tcPr>
          <w:p w14:paraId="3216EC08"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720" w:type="dxa"/>
            <w:noWrap/>
            <w:hideMark/>
          </w:tcPr>
          <w:p w14:paraId="3469C201"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X</w:t>
            </w:r>
          </w:p>
        </w:tc>
        <w:tc>
          <w:tcPr>
            <w:tcW w:w="720" w:type="dxa"/>
            <w:noWrap/>
            <w:hideMark/>
          </w:tcPr>
          <w:p w14:paraId="584464B2"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p>
        </w:tc>
        <w:tc>
          <w:tcPr>
            <w:tcW w:w="720" w:type="dxa"/>
            <w:noWrap/>
            <w:hideMark/>
          </w:tcPr>
          <w:p w14:paraId="52D7F3AE"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900" w:type="dxa"/>
            <w:noWrap/>
            <w:hideMark/>
          </w:tcPr>
          <w:p w14:paraId="41AC2D15"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810" w:type="dxa"/>
            <w:gridSpan w:val="2"/>
            <w:noWrap/>
            <w:hideMark/>
          </w:tcPr>
          <w:p w14:paraId="054A546D"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r>
      <w:tr w:rsidR="00C37C27" w:rsidRPr="00FB3B0E" w14:paraId="25AA0F7F" w14:textId="77777777" w:rsidTr="00165A46">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1710" w:type="dxa"/>
            <w:noWrap/>
            <w:hideMark/>
          </w:tcPr>
          <w:p w14:paraId="773244FE" w14:textId="77777777" w:rsidR="001E39AF" w:rsidRPr="00FB3B0E" w:rsidRDefault="001E39AF" w:rsidP="001E39AF">
            <w:pPr>
              <w:spacing w:after="0" w:line="240" w:lineRule="auto"/>
              <w:rPr>
                <w:rFonts w:eastAsia="Times New Roman" w:cs="Times New Roman"/>
                <w:color w:val="000000"/>
                <w:sz w:val="22"/>
              </w:rPr>
            </w:pPr>
            <w:r w:rsidRPr="00FB3B0E">
              <w:rPr>
                <w:rFonts w:eastAsia="Times New Roman" w:cs="Times New Roman"/>
                <w:color w:val="000000"/>
                <w:sz w:val="22"/>
              </w:rPr>
              <w:t>Supply Chain</w:t>
            </w:r>
          </w:p>
        </w:tc>
        <w:tc>
          <w:tcPr>
            <w:tcW w:w="6135" w:type="dxa"/>
            <w:gridSpan w:val="2"/>
            <w:hideMark/>
          </w:tcPr>
          <w:p w14:paraId="5E8DCAFE" w14:textId="77777777" w:rsidR="001E39AF" w:rsidRPr="00FB3B0E" w:rsidRDefault="001E39AF" w:rsidP="001E39A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 xml:space="preserve">(2) Contractor-Manufacturer Relationship. The SCRM plan shall identify the relationship between the offeror and the manufacturer as one of the following: (1) OEM; (2) authorized reseller; (3) authorized partner/distributor; or (4) unknown/unidentified source. </w:t>
            </w:r>
          </w:p>
        </w:tc>
        <w:tc>
          <w:tcPr>
            <w:tcW w:w="795" w:type="dxa"/>
            <w:noWrap/>
            <w:hideMark/>
          </w:tcPr>
          <w:p w14:paraId="00B162E5"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p>
        </w:tc>
        <w:tc>
          <w:tcPr>
            <w:tcW w:w="450" w:type="dxa"/>
            <w:noWrap/>
            <w:hideMark/>
          </w:tcPr>
          <w:p w14:paraId="302B9EE5"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720" w:type="dxa"/>
            <w:noWrap/>
            <w:hideMark/>
          </w:tcPr>
          <w:p w14:paraId="147B7769"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X</w:t>
            </w:r>
          </w:p>
        </w:tc>
        <w:tc>
          <w:tcPr>
            <w:tcW w:w="720" w:type="dxa"/>
            <w:noWrap/>
            <w:hideMark/>
          </w:tcPr>
          <w:p w14:paraId="5FA0A94F"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p>
        </w:tc>
        <w:tc>
          <w:tcPr>
            <w:tcW w:w="720" w:type="dxa"/>
            <w:noWrap/>
            <w:hideMark/>
          </w:tcPr>
          <w:p w14:paraId="318C19B3"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900" w:type="dxa"/>
            <w:noWrap/>
            <w:hideMark/>
          </w:tcPr>
          <w:p w14:paraId="66C2A9AA"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810" w:type="dxa"/>
            <w:gridSpan w:val="2"/>
            <w:noWrap/>
            <w:hideMark/>
          </w:tcPr>
          <w:p w14:paraId="54F3BD17"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r>
      <w:tr w:rsidR="001C1740" w:rsidRPr="00FB3B0E" w14:paraId="3145FB87" w14:textId="77777777" w:rsidTr="00165A46">
        <w:trPr>
          <w:trHeight w:val="900"/>
          <w:jc w:val="center"/>
        </w:trPr>
        <w:tc>
          <w:tcPr>
            <w:cnfStyle w:val="001000000000" w:firstRow="0" w:lastRow="0" w:firstColumn="1" w:lastColumn="0" w:oddVBand="0" w:evenVBand="0" w:oddHBand="0" w:evenHBand="0" w:firstRowFirstColumn="0" w:firstRowLastColumn="0" w:lastRowFirstColumn="0" w:lastRowLastColumn="0"/>
            <w:tcW w:w="1710" w:type="dxa"/>
            <w:noWrap/>
            <w:hideMark/>
          </w:tcPr>
          <w:p w14:paraId="08214372" w14:textId="77777777" w:rsidR="001E39AF" w:rsidRPr="00FB3B0E" w:rsidRDefault="001E39AF" w:rsidP="001E39AF">
            <w:pPr>
              <w:spacing w:after="0" w:line="240" w:lineRule="auto"/>
              <w:rPr>
                <w:rFonts w:eastAsia="Times New Roman" w:cs="Times New Roman"/>
                <w:color w:val="000000"/>
                <w:sz w:val="22"/>
              </w:rPr>
            </w:pPr>
            <w:r w:rsidRPr="00FB3B0E">
              <w:rPr>
                <w:rFonts w:eastAsia="Times New Roman" w:cs="Times New Roman"/>
                <w:color w:val="000000"/>
                <w:sz w:val="22"/>
              </w:rPr>
              <w:t>Supply Chain</w:t>
            </w:r>
          </w:p>
        </w:tc>
        <w:tc>
          <w:tcPr>
            <w:tcW w:w="6135" w:type="dxa"/>
            <w:gridSpan w:val="2"/>
            <w:hideMark/>
          </w:tcPr>
          <w:p w14:paraId="7F252AC0" w14:textId="5A116D4C" w:rsidR="001E39AF" w:rsidRPr="00FB3B0E" w:rsidRDefault="001E39AF" w:rsidP="001E39A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(3) Malicious Code Warranty</w:t>
            </w:r>
            <w:r w:rsidR="00D85030">
              <w:rPr>
                <w:rFonts w:eastAsia="Times New Roman" w:cs="Times New Roman"/>
                <w:color w:val="000000"/>
                <w:sz w:val="22"/>
              </w:rPr>
              <w:t xml:space="preserve">. </w:t>
            </w:r>
            <w:r w:rsidRPr="00FB3B0E">
              <w:rPr>
                <w:rFonts w:eastAsia="Times New Roman" w:cs="Times New Roman"/>
                <w:color w:val="000000"/>
                <w:sz w:val="22"/>
              </w:rPr>
              <w:t xml:space="preserve">The SCRM plan shall include the offeror’s expressed warranty that the software shall be free from all computer viruses, worms, time-outs, time bombs, back doors, disabling devices and other harmful or malicious code intended to or which may damage, disrupt, inconvenience or permit access to the software user's or another's software, hardware, networks, data or information. </w:t>
            </w:r>
          </w:p>
        </w:tc>
        <w:tc>
          <w:tcPr>
            <w:tcW w:w="795" w:type="dxa"/>
            <w:noWrap/>
            <w:hideMark/>
          </w:tcPr>
          <w:p w14:paraId="4FE60CBF"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p>
        </w:tc>
        <w:tc>
          <w:tcPr>
            <w:tcW w:w="450" w:type="dxa"/>
            <w:noWrap/>
            <w:hideMark/>
          </w:tcPr>
          <w:p w14:paraId="4783E51C"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720" w:type="dxa"/>
            <w:noWrap/>
            <w:hideMark/>
          </w:tcPr>
          <w:p w14:paraId="29F94854"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X</w:t>
            </w:r>
          </w:p>
        </w:tc>
        <w:tc>
          <w:tcPr>
            <w:tcW w:w="720" w:type="dxa"/>
            <w:noWrap/>
            <w:hideMark/>
          </w:tcPr>
          <w:p w14:paraId="5B587A3B"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p>
        </w:tc>
        <w:tc>
          <w:tcPr>
            <w:tcW w:w="720" w:type="dxa"/>
            <w:noWrap/>
            <w:hideMark/>
          </w:tcPr>
          <w:p w14:paraId="6C5620B8"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900" w:type="dxa"/>
            <w:noWrap/>
            <w:hideMark/>
          </w:tcPr>
          <w:p w14:paraId="3F321347"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810" w:type="dxa"/>
            <w:gridSpan w:val="2"/>
            <w:noWrap/>
            <w:hideMark/>
          </w:tcPr>
          <w:p w14:paraId="7F1A5BF0"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r>
      <w:tr w:rsidR="00C37C27" w:rsidRPr="00FB3B0E" w14:paraId="28EA07FA" w14:textId="77777777" w:rsidTr="00165A46">
        <w:trPr>
          <w:cnfStyle w:val="000000100000" w:firstRow="0" w:lastRow="0" w:firstColumn="0" w:lastColumn="0" w:oddVBand="0" w:evenVBand="0" w:oddHBand="1" w:evenHBand="0" w:firstRowFirstColumn="0" w:firstRowLastColumn="0" w:lastRowFirstColumn="0" w:lastRowLastColumn="0"/>
          <w:trHeight w:val="1500"/>
          <w:jc w:val="center"/>
        </w:trPr>
        <w:tc>
          <w:tcPr>
            <w:cnfStyle w:val="001000000000" w:firstRow="0" w:lastRow="0" w:firstColumn="1" w:lastColumn="0" w:oddVBand="0" w:evenVBand="0" w:oddHBand="0" w:evenHBand="0" w:firstRowFirstColumn="0" w:firstRowLastColumn="0" w:lastRowFirstColumn="0" w:lastRowLastColumn="0"/>
            <w:tcW w:w="1710" w:type="dxa"/>
            <w:noWrap/>
            <w:hideMark/>
          </w:tcPr>
          <w:p w14:paraId="64CF2EE6" w14:textId="77777777" w:rsidR="001E39AF" w:rsidRPr="00FB3B0E" w:rsidRDefault="001E39AF" w:rsidP="001E39AF">
            <w:pPr>
              <w:spacing w:after="0" w:line="240" w:lineRule="auto"/>
              <w:rPr>
                <w:rFonts w:eastAsia="Times New Roman" w:cs="Times New Roman"/>
                <w:color w:val="000000"/>
                <w:sz w:val="22"/>
              </w:rPr>
            </w:pPr>
            <w:r w:rsidRPr="00FB3B0E">
              <w:rPr>
                <w:rFonts w:eastAsia="Times New Roman" w:cs="Times New Roman"/>
                <w:color w:val="000000"/>
                <w:sz w:val="22"/>
              </w:rPr>
              <w:t>Supply Chain</w:t>
            </w:r>
          </w:p>
        </w:tc>
        <w:tc>
          <w:tcPr>
            <w:tcW w:w="6135" w:type="dxa"/>
            <w:gridSpan w:val="2"/>
            <w:hideMark/>
          </w:tcPr>
          <w:p w14:paraId="7B472AFB" w14:textId="5A26F362" w:rsidR="001E39AF" w:rsidRPr="00FB3B0E" w:rsidRDefault="001E39AF" w:rsidP="001E39A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(4) Subcontracts</w:t>
            </w:r>
            <w:r w:rsidR="00D85030">
              <w:rPr>
                <w:rFonts w:eastAsia="Times New Roman" w:cs="Times New Roman"/>
                <w:color w:val="000000"/>
                <w:sz w:val="22"/>
              </w:rPr>
              <w:t xml:space="preserve">. </w:t>
            </w:r>
            <w:r w:rsidRPr="00FB3B0E">
              <w:rPr>
                <w:rFonts w:eastAsia="Times New Roman" w:cs="Times New Roman"/>
                <w:color w:val="000000"/>
                <w:sz w:val="22"/>
              </w:rPr>
              <w:t>The Offeror shall incorporate the substance of this clause in subcontracts at all tiers where a subcontractor provides personnel, components or processes identified as either a critical component or its supporting infrastructure</w:t>
            </w:r>
            <w:r w:rsidR="00D85030">
              <w:rPr>
                <w:rFonts w:eastAsia="Times New Roman" w:cs="Times New Roman"/>
                <w:color w:val="000000"/>
                <w:sz w:val="22"/>
              </w:rPr>
              <w:t xml:space="preserve">. </w:t>
            </w:r>
            <w:r w:rsidRPr="00FB3B0E">
              <w:rPr>
                <w:rFonts w:eastAsia="Times New Roman" w:cs="Times New Roman"/>
                <w:color w:val="000000"/>
                <w:sz w:val="22"/>
              </w:rPr>
              <w:t>All subcontractors providing critical components or services shall be identified and required to provide all necessary information to complete the SCRM Plan in association with the Offeror</w:t>
            </w:r>
            <w:r w:rsidR="00D85030">
              <w:rPr>
                <w:rFonts w:eastAsia="Times New Roman" w:cs="Times New Roman"/>
                <w:color w:val="000000"/>
                <w:sz w:val="22"/>
              </w:rPr>
              <w:t xml:space="preserve">. </w:t>
            </w:r>
          </w:p>
        </w:tc>
        <w:tc>
          <w:tcPr>
            <w:tcW w:w="795" w:type="dxa"/>
            <w:noWrap/>
            <w:hideMark/>
          </w:tcPr>
          <w:p w14:paraId="7448E1EE"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p>
        </w:tc>
        <w:tc>
          <w:tcPr>
            <w:tcW w:w="450" w:type="dxa"/>
            <w:noWrap/>
            <w:hideMark/>
          </w:tcPr>
          <w:p w14:paraId="2B106651"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720" w:type="dxa"/>
            <w:noWrap/>
            <w:hideMark/>
          </w:tcPr>
          <w:p w14:paraId="2F31F8D5"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X</w:t>
            </w:r>
          </w:p>
        </w:tc>
        <w:tc>
          <w:tcPr>
            <w:tcW w:w="720" w:type="dxa"/>
            <w:noWrap/>
            <w:hideMark/>
          </w:tcPr>
          <w:p w14:paraId="2B23E131"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p>
        </w:tc>
        <w:tc>
          <w:tcPr>
            <w:tcW w:w="720" w:type="dxa"/>
            <w:noWrap/>
            <w:hideMark/>
          </w:tcPr>
          <w:p w14:paraId="1A82D82A"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900" w:type="dxa"/>
            <w:noWrap/>
            <w:hideMark/>
          </w:tcPr>
          <w:p w14:paraId="28AB820D"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810" w:type="dxa"/>
            <w:gridSpan w:val="2"/>
            <w:noWrap/>
            <w:hideMark/>
          </w:tcPr>
          <w:p w14:paraId="56A8E870"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r>
      <w:tr w:rsidR="001C1740" w:rsidRPr="00FB3B0E" w14:paraId="1D2E5BA0" w14:textId="77777777" w:rsidTr="00165A46">
        <w:trPr>
          <w:trHeight w:val="170"/>
          <w:jc w:val="center"/>
        </w:trPr>
        <w:tc>
          <w:tcPr>
            <w:cnfStyle w:val="001000000000" w:firstRow="0" w:lastRow="0" w:firstColumn="1" w:lastColumn="0" w:oddVBand="0" w:evenVBand="0" w:oddHBand="0" w:evenHBand="0" w:firstRowFirstColumn="0" w:firstRowLastColumn="0" w:lastRowFirstColumn="0" w:lastRowLastColumn="0"/>
            <w:tcW w:w="1710" w:type="dxa"/>
            <w:noWrap/>
            <w:hideMark/>
          </w:tcPr>
          <w:p w14:paraId="3540BBE4" w14:textId="77777777" w:rsidR="001E39AF" w:rsidRPr="00FB3B0E" w:rsidRDefault="001E39AF" w:rsidP="001E39AF">
            <w:pPr>
              <w:spacing w:after="0" w:line="240" w:lineRule="auto"/>
              <w:rPr>
                <w:rFonts w:eastAsia="Times New Roman" w:cs="Times New Roman"/>
                <w:color w:val="000000"/>
                <w:sz w:val="22"/>
              </w:rPr>
            </w:pPr>
            <w:r w:rsidRPr="00FB3B0E">
              <w:rPr>
                <w:rFonts w:eastAsia="Times New Roman" w:cs="Times New Roman"/>
                <w:color w:val="000000"/>
                <w:sz w:val="22"/>
              </w:rPr>
              <w:t>Supply Chain</w:t>
            </w:r>
          </w:p>
        </w:tc>
        <w:tc>
          <w:tcPr>
            <w:tcW w:w="6135" w:type="dxa"/>
            <w:gridSpan w:val="2"/>
            <w:hideMark/>
          </w:tcPr>
          <w:p w14:paraId="0F74EAE7" w14:textId="32BA4DED" w:rsidR="001E39AF" w:rsidRPr="00FB3B0E" w:rsidRDefault="001E39AF" w:rsidP="001E39A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(5) SCRM Plan Submission &amp; Review. The SCRM plan and supporting documents shall be submitted to the contracting officer as part of the offeror’s technical proposal</w:t>
            </w:r>
            <w:r w:rsidR="00D85030">
              <w:rPr>
                <w:rFonts w:eastAsia="Times New Roman" w:cs="Times New Roman"/>
                <w:color w:val="000000"/>
                <w:sz w:val="22"/>
              </w:rPr>
              <w:t xml:space="preserve">. </w:t>
            </w:r>
            <w:r w:rsidRPr="00FB3B0E">
              <w:rPr>
                <w:rFonts w:eastAsia="Times New Roman" w:cs="Times New Roman"/>
                <w:color w:val="000000"/>
                <w:sz w:val="22"/>
              </w:rPr>
              <w:t>All SCRM plans and appropriately marked related information will be treated as proprietary information by the Government and handled as Controlled Unclassified Information pursuant to Executive Order 13556 and shall be used solely for the purposes of managing risk to Government Functions</w:t>
            </w:r>
            <w:r w:rsidR="00D85030">
              <w:rPr>
                <w:rFonts w:eastAsia="Times New Roman" w:cs="Times New Roman"/>
                <w:color w:val="000000"/>
                <w:sz w:val="22"/>
              </w:rPr>
              <w:t xml:space="preserve">. </w:t>
            </w:r>
            <w:r w:rsidRPr="00FB3B0E">
              <w:rPr>
                <w:rFonts w:eastAsia="Times New Roman" w:cs="Times New Roman"/>
                <w:color w:val="000000"/>
                <w:sz w:val="22"/>
              </w:rPr>
              <w:t>The government shall review the offeror’s SCRM plan to determine whether the SCRM plan demonstrates an acceptable methodology for managing supply chain threats/risks. The SCRM plan review shall consider the offeror’s SCRM approach for: (1) System Security Engineering; (2) Criticality Analysis; (3) SCRM Security Controls; (4) Delivery Mechanisms; (5) Operational and Disposal Processes; and (5) SCRM Training/Program Awareness</w:t>
            </w:r>
            <w:r w:rsidR="00D85030">
              <w:rPr>
                <w:rFonts w:eastAsia="Times New Roman" w:cs="Times New Roman"/>
                <w:color w:val="000000"/>
                <w:sz w:val="22"/>
              </w:rPr>
              <w:t xml:space="preserve">. </w:t>
            </w:r>
            <w:r w:rsidRPr="00FB3B0E">
              <w:rPr>
                <w:rFonts w:eastAsia="Times New Roman" w:cs="Times New Roman"/>
                <w:color w:val="000000"/>
                <w:sz w:val="22"/>
              </w:rPr>
              <w:t>The SCRM plan must be deemed acceptable by the contracting officer in order for the offeror to be eligible for award</w:t>
            </w:r>
            <w:r w:rsidR="00D85030">
              <w:rPr>
                <w:rFonts w:eastAsia="Times New Roman" w:cs="Times New Roman"/>
                <w:color w:val="000000"/>
                <w:sz w:val="22"/>
              </w:rPr>
              <w:t xml:space="preserve">. </w:t>
            </w:r>
            <w:r w:rsidRPr="00FB3B0E">
              <w:rPr>
                <w:rFonts w:eastAsia="Times New Roman" w:cs="Times New Roman"/>
                <w:color w:val="000000"/>
                <w:sz w:val="22"/>
              </w:rPr>
              <w:t xml:space="preserve">The offeror’s failure to submit an acceptable SCRM plan may result in the offeror being eliminated from further consideration for contract award. </w:t>
            </w:r>
          </w:p>
        </w:tc>
        <w:tc>
          <w:tcPr>
            <w:tcW w:w="795" w:type="dxa"/>
            <w:noWrap/>
            <w:hideMark/>
          </w:tcPr>
          <w:p w14:paraId="136467ED"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p>
        </w:tc>
        <w:tc>
          <w:tcPr>
            <w:tcW w:w="450" w:type="dxa"/>
            <w:noWrap/>
            <w:hideMark/>
          </w:tcPr>
          <w:p w14:paraId="0DF3B7EE"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720" w:type="dxa"/>
            <w:noWrap/>
            <w:hideMark/>
          </w:tcPr>
          <w:p w14:paraId="59E3EE37"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X</w:t>
            </w:r>
          </w:p>
        </w:tc>
        <w:tc>
          <w:tcPr>
            <w:tcW w:w="720" w:type="dxa"/>
            <w:noWrap/>
            <w:hideMark/>
          </w:tcPr>
          <w:p w14:paraId="18369C22"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p>
        </w:tc>
        <w:tc>
          <w:tcPr>
            <w:tcW w:w="720" w:type="dxa"/>
            <w:noWrap/>
            <w:hideMark/>
          </w:tcPr>
          <w:p w14:paraId="02108A44"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900" w:type="dxa"/>
            <w:noWrap/>
            <w:hideMark/>
          </w:tcPr>
          <w:p w14:paraId="4F94F1DF"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810" w:type="dxa"/>
            <w:gridSpan w:val="2"/>
            <w:noWrap/>
            <w:hideMark/>
          </w:tcPr>
          <w:p w14:paraId="200FE76F"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r>
      <w:tr w:rsidR="00C37C27" w:rsidRPr="00FB3B0E" w14:paraId="08CE6E6E" w14:textId="77777777" w:rsidTr="00165A46">
        <w:trPr>
          <w:cnfStyle w:val="000000100000" w:firstRow="0" w:lastRow="0" w:firstColumn="0" w:lastColumn="0" w:oddVBand="0" w:evenVBand="0" w:oddHBand="1" w:evenHBand="0" w:firstRowFirstColumn="0" w:firstRowLastColumn="0" w:lastRowFirstColumn="0" w:lastRowLastColumn="0"/>
          <w:trHeight w:val="1493"/>
          <w:jc w:val="center"/>
        </w:trPr>
        <w:tc>
          <w:tcPr>
            <w:cnfStyle w:val="001000000000" w:firstRow="0" w:lastRow="0" w:firstColumn="1" w:lastColumn="0" w:oddVBand="0" w:evenVBand="0" w:oddHBand="0" w:evenHBand="0" w:firstRowFirstColumn="0" w:firstRowLastColumn="0" w:lastRowFirstColumn="0" w:lastRowLastColumn="0"/>
            <w:tcW w:w="1710" w:type="dxa"/>
            <w:noWrap/>
            <w:hideMark/>
          </w:tcPr>
          <w:p w14:paraId="167DDBD9" w14:textId="77777777" w:rsidR="001E39AF" w:rsidRPr="00FB3B0E" w:rsidRDefault="001E39AF" w:rsidP="001E39AF">
            <w:pPr>
              <w:spacing w:after="0" w:line="240" w:lineRule="auto"/>
              <w:rPr>
                <w:rFonts w:eastAsia="Times New Roman" w:cs="Times New Roman"/>
                <w:color w:val="000000"/>
                <w:sz w:val="22"/>
              </w:rPr>
            </w:pPr>
            <w:r w:rsidRPr="00FB3B0E">
              <w:rPr>
                <w:rFonts w:eastAsia="Times New Roman" w:cs="Times New Roman"/>
                <w:color w:val="000000"/>
                <w:sz w:val="22"/>
              </w:rPr>
              <w:t>Supply Chain</w:t>
            </w:r>
          </w:p>
        </w:tc>
        <w:tc>
          <w:tcPr>
            <w:tcW w:w="6135" w:type="dxa"/>
            <w:gridSpan w:val="2"/>
            <w:hideMark/>
          </w:tcPr>
          <w:p w14:paraId="7567DBAF" w14:textId="14A24822" w:rsidR="001E39AF" w:rsidRPr="00FB3B0E" w:rsidRDefault="001E39AF" w:rsidP="001E39A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(6) Material Term of the Contract. Failure by the offeror to submit an acceptable SCRM Plan with its proposal may result in the offeror’s exclusion from award</w:t>
            </w:r>
            <w:r w:rsidR="00D85030">
              <w:rPr>
                <w:rFonts w:eastAsia="Times New Roman" w:cs="Times New Roman"/>
                <w:color w:val="000000"/>
                <w:sz w:val="22"/>
              </w:rPr>
              <w:t xml:space="preserve">. </w:t>
            </w:r>
            <w:r w:rsidRPr="00FB3B0E">
              <w:rPr>
                <w:rFonts w:eastAsia="Times New Roman" w:cs="Times New Roman"/>
                <w:color w:val="000000"/>
                <w:sz w:val="22"/>
              </w:rPr>
              <w:t>Failure by the Contractor to execute, maintain and distribute a current SCRM Plan for review by the Government in accordance with the terms of the contract shall constitute a material breach of the contract and may result in termination for default or cause.</w:t>
            </w:r>
          </w:p>
        </w:tc>
        <w:tc>
          <w:tcPr>
            <w:tcW w:w="795" w:type="dxa"/>
            <w:noWrap/>
            <w:hideMark/>
          </w:tcPr>
          <w:p w14:paraId="2C63D032"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p>
        </w:tc>
        <w:tc>
          <w:tcPr>
            <w:tcW w:w="450" w:type="dxa"/>
            <w:noWrap/>
            <w:hideMark/>
          </w:tcPr>
          <w:p w14:paraId="0C36DF51"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720" w:type="dxa"/>
            <w:noWrap/>
            <w:hideMark/>
          </w:tcPr>
          <w:p w14:paraId="3021CF0A"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X</w:t>
            </w:r>
          </w:p>
        </w:tc>
        <w:tc>
          <w:tcPr>
            <w:tcW w:w="720" w:type="dxa"/>
            <w:noWrap/>
            <w:hideMark/>
          </w:tcPr>
          <w:p w14:paraId="1C107758"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p>
        </w:tc>
        <w:tc>
          <w:tcPr>
            <w:tcW w:w="720" w:type="dxa"/>
            <w:noWrap/>
            <w:hideMark/>
          </w:tcPr>
          <w:p w14:paraId="3EBF3419"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900" w:type="dxa"/>
            <w:noWrap/>
            <w:hideMark/>
          </w:tcPr>
          <w:p w14:paraId="483E87B6"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810" w:type="dxa"/>
            <w:gridSpan w:val="2"/>
            <w:noWrap/>
            <w:hideMark/>
          </w:tcPr>
          <w:p w14:paraId="21E928C9"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r>
      <w:tr w:rsidR="001C1740" w:rsidRPr="00FB3B0E" w14:paraId="63FF1E7B" w14:textId="77777777" w:rsidTr="00165A46">
        <w:trPr>
          <w:trHeight w:val="611"/>
          <w:jc w:val="center"/>
        </w:trPr>
        <w:tc>
          <w:tcPr>
            <w:cnfStyle w:val="001000000000" w:firstRow="0" w:lastRow="0" w:firstColumn="1" w:lastColumn="0" w:oddVBand="0" w:evenVBand="0" w:oddHBand="0" w:evenHBand="0" w:firstRowFirstColumn="0" w:firstRowLastColumn="0" w:lastRowFirstColumn="0" w:lastRowLastColumn="0"/>
            <w:tcW w:w="1710" w:type="dxa"/>
            <w:noWrap/>
            <w:hideMark/>
          </w:tcPr>
          <w:p w14:paraId="726F2968" w14:textId="77777777" w:rsidR="001E39AF" w:rsidRPr="00FB3B0E" w:rsidRDefault="001E39AF" w:rsidP="001E39AF">
            <w:pPr>
              <w:spacing w:after="0" w:line="240" w:lineRule="auto"/>
              <w:rPr>
                <w:rFonts w:eastAsia="Times New Roman" w:cs="Times New Roman"/>
                <w:color w:val="000000"/>
                <w:sz w:val="22"/>
              </w:rPr>
            </w:pPr>
            <w:r w:rsidRPr="00FB3B0E">
              <w:rPr>
                <w:rFonts w:eastAsia="Times New Roman" w:cs="Times New Roman"/>
                <w:color w:val="000000"/>
                <w:sz w:val="22"/>
              </w:rPr>
              <w:t>Terms of Service</w:t>
            </w:r>
          </w:p>
        </w:tc>
        <w:tc>
          <w:tcPr>
            <w:tcW w:w="6135" w:type="dxa"/>
            <w:gridSpan w:val="2"/>
            <w:hideMark/>
          </w:tcPr>
          <w:p w14:paraId="2D946482" w14:textId="00DA682E" w:rsidR="001E39AF" w:rsidRPr="00FB3B0E" w:rsidRDefault="001E39AF" w:rsidP="001E39A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Use FAR Clause: 52.212-4(u):</w:t>
            </w:r>
            <w:r w:rsidR="0032135B">
              <w:rPr>
                <w:rFonts w:eastAsia="Times New Roman" w:cs="Times New Roman"/>
                <w:color w:val="000000"/>
                <w:sz w:val="22"/>
              </w:rPr>
              <w:t xml:space="preserve"> </w:t>
            </w:r>
            <w:r w:rsidRPr="00FB3B0E">
              <w:rPr>
                <w:rFonts w:eastAsia="Times New Roman" w:cs="Times New Roman"/>
                <w:color w:val="000000"/>
                <w:sz w:val="22"/>
              </w:rPr>
              <w:t xml:space="preserve">The following shall supersede any language in the Contractor’s commercial terms of service: </w:t>
            </w:r>
          </w:p>
        </w:tc>
        <w:tc>
          <w:tcPr>
            <w:tcW w:w="795" w:type="dxa"/>
            <w:noWrap/>
            <w:hideMark/>
          </w:tcPr>
          <w:p w14:paraId="30E08E18"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p>
        </w:tc>
        <w:tc>
          <w:tcPr>
            <w:tcW w:w="450" w:type="dxa"/>
            <w:noWrap/>
            <w:hideMark/>
          </w:tcPr>
          <w:p w14:paraId="31B7F168"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X</w:t>
            </w:r>
          </w:p>
        </w:tc>
        <w:tc>
          <w:tcPr>
            <w:tcW w:w="720" w:type="dxa"/>
            <w:noWrap/>
            <w:hideMark/>
          </w:tcPr>
          <w:p w14:paraId="78B4EF94"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p>
        </w:tc>
        <w:tc>
          <w:tcPr>
            <w:tcW w:w="720" w:type="dxa"/>
            <w:noWrap/>
            <w:hideMark/>
          </w:tcPr>
          <w:p w14:paraId="505807F0"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720" w:type="dxa"/>
            <w:noWrap/>
            <w:hideMark/>
          </w:tcPr>
          <w:p w14:paraId="5C354FBD"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900" w:type="dxa"/>
            <w:noWrap/>
            <w:hideMark/>
          </w:tcPr>
          <w:p w14:paraId="0440DF6E"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810" w:type="dxa"/>
            <w:gridSpan w:val="2"/>
            <w:noWrap/>
            <w:hideMark/>
          </w:tcPr>
          <w:p w14:paraId="47C8234D"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r>
      <w:tr w:rsidR="00C37C27" w:rsidRPr="00FB3B0E" w14:paraId="063A6E9B" w14:textId="77777777" w:rsidTr="00165A46">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1710" w:type="dxa"/>
            <w:noWrap/>
            <w:hideMark/>
          </w:tcPr>
          <w:p w14:paraId="4D4148E6" w14:textId="77777777" w:rsidR="001E39AF" w:rsidRPr="00FB3B0E" w:rsidRDefault="001E39AF" w:rsidP="001E39AF">
            <w:pPr>
              <w:spacing w:after="0" w:line="240" w:lineRule="auto"/>
              <w:rPr>
                <w:rFonts w:eastAsia="Times New Roman" w:cs="Times New Roman"/>
                <w:color w:val="000000"/>
                <w:sz w:val="22"/>
              </w:rPr>
            </w:pPr>
            <w:r w:rsidRPr="00FB3B0E">
              <w:rPr>
                <w:rFonts w:eastAsia="Times New Roman" w:cs="Times New Roman"/>
                <w:color w:val="000000"/>
                <w:sz w:val="22"/>
              </w:rPr>
              <w:t>Terms of Service</w:t>
            </w:r>
          </w:p>
        </w:tc>
        <w:tc>
          <w:tcPr>
            <w:tcW w:w="6135" w:type="dxa"/>
            <w:gridSpan w:val="2"/>
            <w:hideMark/>
          </w:tcPr>
          <w:p w14:paraId="5C966ED4" w14:textId="5193E3F3" w:rsidR="001E39AF" w:rsidRPr="00FB3B0E" w:rsidRDefault="001E39AF" w:rsidP="001E39A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(1) Confidentiality</w:t>
            </w:r>
            <w:r w:rsidR="00D85030">
              <w:rPr>
                <w:rFonts w:eastAsia="Times New Roman" w:cs="Times New Roman"/>
                <w:color w:val="000000"/>
                <w:sz w:val="22"/>
              </w:rPr>
              <w:t xml:space="preserve">. </w:t>
            </w:r>
            <w:r w:rsidRPr="00FB3B0E">
              <w:rPr>
                <w:rFonts w:eastAsia="Times New Roman" w:cs="Times New Roman"/>
                <w:color w:val="000000"/>
                <w:sz w:val="22"/>
              </w:rPr>
              <w:t xml:space="preserve">The Government, to the extent permitted by law and regulation, will safeguard and treat information obtained pursuant to the Contractor’s disclosure as confidential where the information has been marked “confidential” or “proprietary” by the company. To the extent permitted by law and regulation, such information will not be released by the Government to the public pursuant to a Freedom of Information Act request, 5 U.S.C. § 552, without prior notification to the Contractor. The Government may transfer documents and information provided by the Contractor to any department or agency within the Executive Branch if the information relates to matters within the organization’s jurisdiction. </w:t>
            </w:r>
          </w:p>
        </w:tc>
        <w:tc>
          <w:tcPr>
            <w:tcW w:w="795" w:type="dxa"/>
            <w:noWrap/>
            <w:hideMark/>
          </w:tcPr>
          <w:p w14:paraId="12269B9A"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p>
        </w:tc>
        <w:tc>
          <w:tcPr>
            <w:tcW w:w="450" w:type="dxa"/>
            <w:noWrap/>
            <w:hideMark/>
          </w:tcPr>
          <w:p w14:paraId="6E2C1B97"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X</w:t>
            </w:r>
          </w:p>
        </w:tc>
        <w:tc>
          <w:tcPr>
            <w:tcW w:w="720" w:type="dxa"/>
            <w:noWrap/>
            <w:hideMark/>
          </w:tcPr>
          <w:p w14:paraId="2D2B55FC"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p>
        </w:tc>
        <w:tc>
          <w:tcPr>
            <w:tcW w:w="720" w:type="dxa"/>
            <w:noWrap/>
            <w:hideMark/>
          </w:tcPr>
          <w:p w14:paraId="728E6E33"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720" w:type="dxa"/>
            <w:noWrap/>
            <w:hideMark/>
          </w:tcPr>
          <w:p w14:paraId="5D268992"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900" w:type="dxa"/>
            <w:noWrap/>
            <w:hideMark/>
          </w:tcPr>
          <w:p w14:paraId="2A78875F"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810" w:type="dxa"/>
            <w:gridSpan w:val="2"/>
            <w:noWrap/>
            <w:hideMark/>
          </w:tcPr>
          <w:p w14:paraId="6CEE1F7A"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r>
      <w:tr w:rsidR="001C1740" w:rsidRPr="00FB3B0E" w14:paraId="37E2D4B7" w14:textId="77777777" w:rsidTr="00165A46">
        <w:trPr>
          <w:trHeight w:val="260"/>
          <w:jc w:val="center"/>
        </w:trPr>
        <w:tc>
          <w:tcPr>
            <w:cnfStyle w:val="001000000000" w:firstRow="0" w:lastRow="0" w:firstColumn="1" w:lastColumn="0" w:oddVBand="0" w:evenVBand="0" w:oddHBand="0" w:evenHBand="0" w:firstRowFirstColumn="0" w:firstRowLastColumn="0" w:lastRowFirstColumn="0" w:lastRowLastColumn="0"/>
            <w:tcW w:w="1710" w:type="dxa"/>
            <w:noWrap/>
            <w:hideMark/>
          </w:tcPr>
          <w:p w14:paraId="0AB1D75A" w14:textId="77777777" w:rsidR="001E39AF" w:rsidRPr="00FB3B0E" w:rsidRDefault="001E39AF" w:rsidP="001E39AF">
            <w:pPr>
              <w:spacing w:after="0" w:line="240" w:lineRule="auto"/>
              <w:rPr>
                <w:rFonts w:eastAsia="Times New Roman" w:cs="Times New Roman"/>
                <w:color w:val="000000"/>
                <w:sz w:val="22"/>
              </w:rPr>
            </w:pPr>
            <w:r w:rsidRPr="00FB3B0E">
              <w:rPr>
                <w:rFonts w:eastAsia="Times New Roman" w:cs="Times New Roman"/>
                <w:color w:val="000000"/>
                <w:sz w:val="22"/>
              </w:rPr>
              <w:t>Terms of Service</w:t>
            </w:r>
          </w:p>
        </w:tc>
        <w:tc>
          <w:tcPr>
            <w:tcW w:w="6135" w:type="dxa"/>
            <w:gridSpan w:val="2"/>
            <w:hideMark/>
          </w:tcPr>
          <w:p w14:paraId="639F3D28" w14:textId="6846F717" w:rsidR="001E39AF" w:rsidRPr="00FB3B0E" w:rsidRDefault="001E39AF" w:rsidP="001E39A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(2) Disputes and governing law</w:t>
            </w:r>
            <w:r w:rsidR="00D85030">
              <w:rPr>
                <w:rFonts w:eastAsia="Times New Roman" w:cs="Times New Roman"/>
                <w:color w:val="000000"/>
                <w:sz w:val="22"/>
              </w:rPr>
              <w:t xml:space="preserve">. </w:t>
            </w:r>
            <w:r w:rsidRPr="00FB3B0E">
              <w:rPr>
                <w:rFonts w:eastAsia="Times New Roman" w:cs="Times New Roman"/>
                <w:color w:val="000000"/>
                <w:sz w:val="22"/>
              </w:rPr>
              <w:t xml:space="preserve">Any and all other terms or conditions notwithstanding, disputes arising under or relating to this contract or agreement are subject exclusively to Federal law, particularly the Contract Disputes Act of 1978, as amended (41 U.S.C. §§ 7101-7109) (the Act) and the provisions of 48 CFR subpart 33.2. Except as provided in the Act, all disputes arising under or relating to this contract shall be resolved under the clause set forth at 48 CFR 52.233-1. </w:t>
            </w:r>
          </w:p>
        </w:tc>
        <w:tc>
          <w:tcPr>
            <w:tcW w:w="795" w:type="dxa"/>
            <w:noWrap/>
            <w:hideMark/>
          </w:tcPr>
          <w:p w14:paraId="6EFA20D6"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p>
        </w:tc>
        <w:tc>
          <w:tcPr>
            <w:tcW w:w="450" w:type="dxa"/>
            <w:noWrap/>
            <w:hideMark/>
          </w:tcPr>
          <w:p w14:paraId="0CCAB4DF"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720" w:type="dxa"/>
            <w:noWrap/>
            <w:hideMark/>
          </w:tcPr>
          <w:p w14:paraId="57897DB1"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X</w:t>
            </w:r>
          </w:p>
        </w:tc>
        <w:tc>
          <w:tcPr>
            <w:tcW w:w="720" w:type="dxa"/>
            <w:noWrap/>
            <w:hideMark/>
          </w:tcPr>
          <w:p w14:paraId="50A7CF5C"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p>
        </w:tc>
        <w:tc>
          <w:tcPr>
            <w:tcW w:w="720" w:type="dxa"/>
            <w:noWrap/>
            <w:hideMark/>
          </w:tcPr>
          <w:p w14:paraId="50CAD104"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900" w:type="dxa"/>
            <w:noWrap/>
            <w:hideMark/>
          </w:tcPr>
          <w:p w14:paraId="0FC16311"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810" w:type="dxa"/>
            <w:gridSpan w:val="2"/>
            <w:noWrap/>
            <w:hideMark/>
          </w:tcPr>
          <w:p w14:paraId="09024A23"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r>
      <w:tr w:rsidR="00C37C27" w:rsidRPr="00FB3B0E" w14:paraId="7583C055" w14:textId="77777777" w:rsidTr="00165A46">
        <w:trPr>
          <w:cnfStyle w:val="000000100000" w:firstRow="0" w:lastRow="0" w:firstColumn="0" w:lastColumn="0" w:oddVBand="0" w:evenVBand="0" w:oddHBand="1" w:evenHBand="0" w:firstRowFirstColumn="0" w:firstRowLastColumn="0" w:lastRowFirstColumn="0" w:lastRowLastColumn="0"/>
          <w:trHeight w:val="845"/>
          <w:jc w:val="center"/>
        </w:trPr>
        <w:tc>
          <w:tcPr>
            <w:cnfStyle w:val="001000000000" w:firstRow="0" w:lastRow="0" w:firstColumn="1" w:lastColumn="0" w:oddVBand="0" w:evenVBand="0" w:oddHBand="0" w:evenHBand="0" w:firstRowFirstColumn="0" w:firstRowLastColumn="0" w:lastRowFirstColumn="0" w:lastRowLastColumn="0"/>
            <w:tcW w:w="1710" w:type="dxa"/>
            <w:noWrap/>
            <w:hideMark/>
          </w:tcPr>
          <w:p w14:paraId="14074C92" w14:textId="77777777" w:rsidR="001E39AF" w:rsidRPr="00FB3B0E" w:rsidRDefault="001E39AF" w:rsidP="001E39AF">
            <w:pPr>
              <w:spacing w:after="0" w:line="240" w:lineRule="auto"/>
              <w:rPr>
                <w:rFonts w:eastAsia="Times New Roman" w:cs="Times New Roman"/>
                <w:color w:val="000000"/>
                <w:sz w:val="22"/>
              </w:rPr>
            </w:pPr>
            <w:r w:rsidRPr="00FB3B0E">
              <w:rPr>
                <w:rFonts w:eastAsia="Times New Roman" w:cs="Times New Roman"/>
                <w:color w:val="000000"/>
                <w:sz w:val="22"/>
              </w:rPr>
              <w:t>Terms of Service</w:t>
            </w:r>
          </w:p>
        </w:tc>
        <w:tc>
          <w:tcPr>
            <w:tcW w:w="6135" w:type="dxa"/>
            <w:gridSpan w:val="2"/>
            <w:hideMark/>
          </w:tcPr>
          <w:p w14:paraId="77113994" w14:textId="6A7462A6" w:rsidR="001E39AF" w:rsidRPr="00FB3B0E" w:rsidRDefault="001E39AF" w:rsidP="001E39A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(3) Other legal matters</w:t>
            </w:r>
            <w:r w:rsidR="00D85030">
              <w:rPr>
                <w:rFonts w:eastAsia="Times New Roman" w:cs="Times New Roman"/>
                <w:color w:val="000000"/>
                <w:sz w:val="22"/>
              </w:rPr>
              <w:t xml:space="preserve">. </w:t>
            </w:r>
            <w:r w:rsidRPr="00FB3B0E">
              <w:rPr>
                <w:rFonts w:eastAsia="Times New Roman" w:cs="Times New Roman"/>
                <w:color w:val="000000"/>
                <w:sz w:val="22"/>
              </w:rPr>
              <w:t xml:space="preserve">Any and all other terms or conditions notwithstanding, legal actions in which the Government is a party that do not arise under or relate to this contract or agreement shall be prosecuted under applicable Federal law in the appropriate Federal venue. </w:t>
            </w:r>
          </w:p>
        </w:tc>
        <w:tc>
          <w:tcPr>
            <w:tcW w:w="795" w:type="dxa"/>
            <w:noWrap/>
            <w:hideMark/>
          </w:tcPr>
          <w:p w14:paraId="6ADAD9F9"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p>
        </w:tc>
        <w:tc>
          <w:tcPr>
            <w:tcW w:w="450" w:type="dxa"/>
            <w:noWrap/>
            <w:hideMark/>
          </w:tcPr>
          <w:p w14:paraId="68E9255C"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720" w:type="dxa"/>
            <w:noWrap/>
            <w:hideMark/>
          </w:tcPr>
          <w:p w14:paraId="534B16A8"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X</w:t>
            </w:r>
          </w:p>
        </w:tc>
        <w:tc>
          <w:tcPr>
            <w:tcW w:w="720" w:type="dxa"/>
            <w:noWrap/>
            <w:hideMark/>
          </w:tcPr>
          <w:p w14:paraId="02B11BE1"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p>
        </w:tc>
        <w:tc>
          <w:tcPr>
            <w:tcW w:w="720" w:type="dxa"/>
            <w:noWrap/>
            <w:hideMark/>
          </w:tcPr>
          <w:p w14:paraId="5F8728FB"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900" w:type="dxa"/>
            <w:noWrap/>
            <w:hideMark/>
          </w:tcPr>
          <w:p w14:paraId="5F3BFF66"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810" w:type="dxa"/>
            <w:gridSpan w:val="2"/>
            <w:noWrap/>
            <w:hideMark/>
          </w:tcPr>
          <w:p w14:paraId="1BC1D136"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r>
      <w:tr w:rsidR="001C1740" w:rsidRPr="00FB3B0E" w14:paraId="65B8D35B" w14:textId="77777777" w:rsidTr="00165A46">
        <w:trPr>
          <w:trHeight w:val="1200"/>
          <w:jc w:val="center"/>
        </w:trPr>
        <w:tc>
          <w:tcPr>
            <w:cnfStyle w:val="001000000000" w:firstRow="0" w:lastRow="0" w:firstColumn="1" w:lastColumn="0" w:oddVBand="0" w:evenVBand="0" w:oddHBand="0" w:evenHBand="0" w:firstRowFirstColumn="0" w:firstRowLastColumn="0" w:lastRowFirstColumn="0" w:lastRowLastColumn="0"/>
            <w:tcW w:w="1710" w:type="dxa"/>
            <w:noWrap/>
            <w:hideMark/>
          </w:tcPr>
          <w:p w14:paraId="5A76742A" w14:textId="77777777" w:rsidR="001E39AF" w:rsidRPr="00FB3B0E" w:rsidRDefault="001E39AF" w:rsidP="001E39AF">
            <w:pPr>
              <w:spacing w:after="0" w:line="240" w:lineRule="auto"/>
              <w:rPr>
                <w:rFonts w:eastAsia="Times New Roman" w:cs="Times New Roman"/>
                <w:color w:val="000000"/>
                <w:sz w:val="22"/>
              </w:rPr>
            </w:pPr>
            <w:r w:rsidRPr="00FB3B0E">
              <w:rPr>
                <w:rFonts w:eastAsia="Times New Roman" w:cs="Times New Roman"/>
                <w:color w:val="000000"/>
                <w:sz w:val="22"/>
              </w:rPr>
              <w:t>Terms of Service</w:t>
            </w:r>
          </w:p>
        </w:tc>
        <w:tc>
          <w:tcPr>
            <w:tcW w:w="6135" w:type="dxa"/>
            <w:gridSpan w:val="2"/>
            <w:hideMark/>
          </w:tcPr>
          <w:p w14:paraId="0D534FB2" w14:textId="5D496312" w:rsidR="001E39AF" w:rsidRPr="00FB3B0E" w:rsidRDefault="001E39AF" w:rsidP="001E39A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(4) Endorsement</w:t>
            </w:r>
            <w:r w:rsidR="00D85030">
              <w:rPr>
                <w:rFonts w:eastAsia="Times New Roman" w:cs="Times New Roman"/>
                <w:color w:val="000000"/>
                <w:sz w:val="22"/>
              </w:rPr>
              <w:t xml:space="preserve">. </w:t>
            </w:r>
            <w:r w:rsidRPr="00FB3B0E">
              <w:rPr>
                <w:rFonts w:eastAsia="Times New Roman" w:cs="Times New Roman"/>
                <w:color w:val="000000"/>
                <w:sz w:val="22"/>
              </w:rPr>
              <w:t>The Contractor may not use the name, seal, logo or other readily identifiable indicia of any Government agency or organization in such a way that may be construed as advertising or endorsement by the Government of the Contractor</w:t>
            </w:r>
            <w:r w:rsidR="00D85030">
              <w:rPr>
                <w:rFonts w:eastAsia="Times New Roman" w:cs="Times New Roman"/>
                <w:color w:val="000000"/>
                <w:sz w:val="22"/>
              </w:rPr>
              <w:t xml:space="preserve">. </w:t>
            </w:r>
            <w:r w:rsidRPr="00FB3B0E">
              <w:rPr>
                <w:rFonts w:eastAsia="Times New Roman" w:cs="Times New Roman"/>
                <w:color w:val="000000"/>
                <w:sz w:val="22"/>
              </w:rPr>
              <w:t>The Contractor may include within a list or display of the Contractor’s customers for the purposes of advertising or publicity the names, seals, logos or other indicia of Government agencies and organizations that have entered into contracts with the Contractor</w:t>
            </w:r>
            <w:r w:rsidR="00D85030">
              <w:rPr>
                <w:rFonts w:eastAsia="Times New Roman" w:cs="Times New Roman"/>
                <w:color w:val="000000"/>
                <w:sz w:val="22"/>
              </w:rPr>
              <w:t xml:space="preserve">. </w:t>
            </w:r>
            <w:r w:rsidRPr="00FB3B0E">
              <w:rPr>
                <w:rFonts w:eastAsia="Times New Roman" w:cs="Times New Roman"/>
                <w:color w:val="000000"/>
                <w:sz w:val="22"/>
              </w:rPr>
              <w:t xml:space="preserve">However, it must not be stated or implied that the Government in any way recommends or endorses the products or services of the Contractor </w:t>
            </w:r>
          </w:p>
        </w:tc>
        <w:tc>
          <w:tcPr>
            <w:tcW w:w="795" w:type="dxa"/>
            <w:noWrap/>
            <w:hideMark/>
          </w:tcPr>
          <w:p w14:paraId="50250A5F"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p>
        </w:tc>
        <w:tc>
          <w:tcPr>
            <w:tcW w:w="450" w:type="dxa"/>
            <w:noWrap/>
            <w:hideMark/>
          </w:tcPr>
          <w:p w14:paraId="380BCCE2"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720" w:type="dxa"/>
            <w:noWrap/>
            <w:hideMark/>
          </w:tcPr>
          <w:p w14:paraId="37BFC2EF"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X</w:t>
            </w:r>
          </w:p>
        </w:tc>
        <w:tc>
          <w:tcPr>
            <w:tcW w:w="720" w:type="dxa"/>
            <w:noWrap/>
            <w:hideMark/>
          </w:tcPr>
          <w:p w14:paraId="52A61394"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p>
        </w:tc>
        <w:tc>
          <w:tcPr>
            <w:tcW w:w="720" w:type="dxa"/>
            <w:noWrap/>
            <w:hideMark/>
          </w:tcPr>
          <w:p w14:paraId="4849FCEA"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900" w:type="dxa"/>
            <w:noWrap/>
            <w:hideMark/>
          </w:tcPr>
          <w:p w14:paraId="59788947"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810" w:type="dxa"/>
            <w:gridSpan w:val="2"/>
            <w:noWrap/>
            <w:hideMark/>
          </w:tcPr>
          <w:p w14:paraId="003754B2"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r>
      <w:tr w:rsidR="00C37C27" w:rsidRPr="00FB3B0E" w14:paraId="11D605B4" w14:textId="77777777" w:rsidTr="00165A46">
        <w:trPr>
          <w:cnfStyle w:val="000000100000" w:firstRow="0" w:lastRow="0" w:firstColumn="0" w:lastColumn="0" w:oddVBand="0" w:evenVBand="0" w:oddHBand="1" w:evenHBand="0" w:firstRowFirstColumn="0" w:firstRowLastColumn="0" w:lastRowFirstColumn="0" w:lastRowLastColumn="0"/>
          <w:trHeight w:val="2015"/>
          <w:jc w:val="center"/>
        </w:trPr>
        <w:tc>
          <w:tcPr>
            <w:cnfStyle w:val="001000000000" w:firstRow="0" w:lastRow="0" w:firstColumn="1" w:lastColumn="0" w:oddVBand="0" w:evenVBand="0" w:oddHBand="0" w:evenHBand="0" w:firstRowFirstColumn="0" w:firstRowLastColumn="0" w:lastRowFirstColumn="0" w:lastRowLastColumn="0"/>
            <w:tcW w:w="1710" w:type="dxa"/>
            <w:noWrap/>
            <w:hideMark/>
          </w:tcPr>
          <w:p w14:paraId="7E9127B8" w14:textId="77777777" w:rsidR="001E39AF" w:rsidRPr="00FB3B0E" w:rsidRDefault="001E39AF" w:rsidP="001E39AF">
            <w:pPr>
              <w:spacing w:after="0" w:line="240" w:lineRule="auto"/>
              <w:rPr>
                <w:rFonts w:eastAsia="Times New Roman" w:cs="Times New Roman"/>
                <w:color w:val="000000"/>
                <w:sz w:val="22"/>
              </w:rPr>
            </w:pPr>
            <w:r w:rsidRPr="00FB3B0E">
              <w:rPr>
                <w:rFonts w:eastAsia="Times New Roman" w:cs="Times New Roman"/>
                <w:color w:val="000000"/>
                <w:sz w:val="22"/>
              </w:rPr>
              <w:t>Terms of Service</w:t>
            </w:r>
          </w:p>
        </w:tc>
        <w:tc>
          <w:tcPr>
            <w:tcW w:w="6135" w:type="dxa"/>
            <w:gridSpan w:val="2"/>
            <w:hideMark/>
          </w:tcPr>
          <w:p w14:paraId="21ADA805" w14:textId="62FFB42E" w:rsidR="001E39AF" w:rsidRPr="00FB3B0E" w:rsidRDefault="001E39AF" w:rsidP="001E39A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(5) Indemnification and renewal</w:t>
            </w:r>
            <w:r w:rsidR="00D85030">
              <w:rPr>
                <w:rFonts w:eastAsia="Times New Roman" w:cs="Times New Roman"/>
                <w:color w:val="000000"/>
                <w:sz w:val="22"/>
              </w:rPr>
              <w:t xml:space="preserve">. </w:t>
            </w:r>
            <w:r w:rsidRPr="00FB3B0E">
              <w:rPr>
                <w:rFonts w:eastAsia="Times New Roman" w:cs="Times New Roman"/>
                <w:color w:val="000000"/>
                <w:sz w:val="22"/>
              </w:rPr>
              <w:t>Any other terms or conditions notwithstanding, this contract or agreement shall not and does not require the Government to (i) indemnify the Contractor or any person or entity for damages, costs, fees, or any other loss or liability, which would violate the Anti-Deficiency Act (31 U.S.C. § 1341) (ADA), or (ii) automatically renew this contract or agreement at any time in the future, which would violate the ADA</w:t>
            </w:r>
            <w:r w:rsidR="00D85030">
              <w:rPr>
                <w:rFonts w:eastAsia="Times New Roman" w:cs="Times New Roman"/>
                <w:color w:val="000000"/>
                <w:sz w:val="22"/>
              </w:rPr>
              <w:t xml:space="preserve">. </w:t>
            </w:r>
            <w:r w:rsidRPr="00FB3B0E">
              <w:rPr>
                <w:rFonts w:eastAsia="Times New Roman" w:cs="Times New Roman"/>
                <w:color w:val="000000"/>
                <w:sz w:val="22"/>
              </w:rPr>
              <w:t>Any such provisions set forth in this contract or agreement are unenforceable against the Government.</w:t>
            </w:r>
          </w:p>
        </w:tc>
        <w:tc>
          <w:tcPr>
            <w:tcW w:w="795" w:type="dxa"/>
            <w:noWrap/>
            <w:hideMark/>
          </w:tcPr>
          <w:p w14:paraId="1E138A21" w14:textId="0971E161" w:rsidR="001E39AF" w:rsidRPr="00FB3B0E" w:rsidRDefault="007C3C21"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X</w:t>
            </w:r>
            <w:r>
              <w:rPr>
                <w:rStyle w:val="FootnoteReference"/>
                <w:rFonts w:eastAsia="Times New Roman" w:cs="Times New Roman"/>
                <w:color w:val="000000"/>
                <w:sz w:val="22"/>
              </w:rPr>
              <w:footnoteReference w:id="15"/>
            </w:r>
          </w:p>
        </w:tc>
        <w:tc>
          <w:tcPr>
            <w:tcW w:w="450" w:type="dxa"/>
            <w:noWrap/>
            <w:hideMark/>
          </w:tcPr>
          <w:p w14:paraId="6EA6E44F"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p>
        </w:tc>
        <w:tc>
          <w:tcPr>
            <w:tcW w:w="720" w:type="dxa"/>
            <w:noWrap/>
            <w:hideMark/>
          </w:tcPr>
          <w:p w14:paraId="1391A01D"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720" w:type="dxa"/>
            <w:noWrap/>
            <w:hideMark/>
          </w:tcPr>
          <w:p w14:paraId="54B84449"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720" w:type="dxa"/>
            <w:noWrap/>
            <w:hideMark/>
          </w:tcPr>
          <w:p w14:paraId="3C2096DC"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900" w:type="dxa"/>
            <w:noWrap/>
            <w:hideMark/>
          </w:tcPr>
          <w:p w14:paraId="494856CE"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810" w:type="dxa"/>
            <w:gridSpan w:val="2"/>
            <w:noWrap/>
            <w:hideMark/>
          </w:tcPr>
          <w:p w14:paraId="7736F15A" w14:textId="77777777" w:rsidR="001E39AF" w:rsidRPr="00FB3B0E" w:rsidRDefault="001E39AF" w:rsidP="0098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r>
      <w:tr w:rsidR="001C1740" w:rsidRPr="00FB3B0E" w14:paraId="34030061" w14:textId="77777777" w:rsidTr="00165A46">
        <w:trPr>
          <w:trHeight w:val="998"/>
          <w:jc w:val="center"/>
        </w:trPr>
        <w:tc>
          <w:tcPr>
            <w:cnfStyle w:val="001000000000" w:firstRow="0" w:lastRow="0" w:firstColumn="1" w:lastColumn="0" w:oddVBand="0" w:evenVBand="0" w:oddHBand="0" w:evenHBand="0" w:firstRowFirstColumn="0" w:firstRowLastColumn="0" w:lastRowFirstColumn="0" w:lastRowLastColumn="0"/>
            <w:tcW w:w="1710" w:type="dxa"/>
            <w:noWrap/>
            <w:hideMark/>
          </w:tcPr>
          <w:p w14:paraId="5AA5958B" w14:textId="77777777" w:rsidR="001E39AF" w:rsidRPr="00FB3B0E" w:rsidRDefault="001E39AF" w:rsidP="001E39AF">
            <w:pPr>
              <w:spacing w:after="0" w:line="240" w:lineRule="auto"/>
              <w:rPr>
                <w:rFonts w:eastAsia="Times New Roman" w:cs="Times New Roman"/>
                <w:color w:val="000000"/>
                <w:sz w:val="22"/>
              </w:rPr>
            </w:pPr>
            <w:r w:rsidRPr="00FB3B0E">
              <w:rPr>
                <w:rFonts w:eastAsia="Times New Roman" w:cs="Times New Roman"/>
                <w:color w:val="000000"/>
                <w:sz w:val="22"/>
              </w:rPr>
              <w:t>Use of Subcontractors</w:t>
            </w:r>
          </w:p>
        </w:tc>
        <w:tc>
          <w:tcPr>
            <w:tcW w:w="6135" w:type="dxa"/>
            <w:gridSpan w:val="2"/>
            <w:hideMark/>
          </w:tcPr>
          <w:p w14:paraId="1D66D675" w14:textId="315D880A" w:rsidR="001E39AF" w:rsidRPr="00FB3B0E" w:rsidRDefault="001E39AF" w:rsidP="001E39A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The Contractor shall retain operational configuration and control of data repository systems used to process and store government data to include any or remote work</w:t>
            </w:r>
            <w:r w:rsidR="00D85030">
              <w:rPr>
                <w:rFonts w:eastAsia="Times New Roman" w:cs="Times New Roman"/>
                <w:color w:val="000000"/>
                <w:sz w:val="22"/>
              </w:rPr>
              <w:t xml:space="preserve">. </w:t>
            </w:r>
            <w:r w:rsidRPr="00FB3B0E">
              <w:rPr>
                <w:rFonts w:eastAsia="Times New Roman" w:cs="Times New Roman"/>
                <w:color w:val="000000"/>
                <w:sz w:val="22"/>
              </w:rPr>
              <w:t>The Contractor shall not subcontract the operational configuration and control of any government data.</w:t>
            </w:r>
          </w:p>
        </w:tc>
        <w:tc>
          <w:tcPr>
            <w:tcW w:w="795" w:type="dxa"/>
            <w:noWrap/>
            <w:hideMark/>
          </w:tcPr>
          <w:p w14:paraId="0D3DFBA2"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p>
        </w:tc>
        <w:tc>
          <w:tcPr>
            <w:tcW w:w="450" w:type="dxa"/>
            <w:noWrap/>
            <w:hideMark/>
          </w:tcPr>
          <w:p w14:paraId="1DEB2103"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720" w:type="dxa"/>
            <w:noWrap/>
            <w:hideMark/>
          </w:tcPr>
          <w:p w14:paraId="605E3B8A"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FB3B0E">
              <w:rPr>
                <w:rFonts w:eastAsia="Times New Roman" w:cs="Times New Roman"/>
                <w:color w:val="000000"/>
                <w:sz w:val="22"/>
              </w:rPr>
              <w:t>X</w:t>
            </w:r>
          </w:p>
        </w:tc>
        <w:tc>
          <w:tcPr>
            <w:tcW w:w="720" w:type="dxa"/>
            <w:noWrap/>
            <w:hideMark/>
          </w:tcPr>
          <w:p w14:paraId="1A1F19F7"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p>
        </w:tc>
        <w:tc>
          <w:tcPr>
            <w:tcW w:w="720" w:type="dxa"/>
            <w:noWrap/>
            <w:hideMark/>
          </w:tcPr>
          <w:p w14:paraId="3633E3BC"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900" w:type="dxa"/>
            <w:noWrap/>
            <w:hideMark/>
          </w:tcPr>
          <w:p w14:paraId="7FB47650"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810" w:type="dxa"/>
            <w:gridSpan w:val="2"/>
            <w:noWrap/>
            <w:hideMark/>
          </w:tcPr>
          <w:p w14:paraId="492BE528" w14:textId="77777777" w:rsidR="001E39AF" w:rsidRPr="00FB3B0E" w:rsidRDefault="001E39AF" w:rsidP="0098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r>
    </w:tbl>
    <w:p w14:paraId="71A04D65" w14:textId="1369D571" w:rsidR="00165A46" w:rsidRDefault="00165A46" w:rsidP="00260CDE"/>
    <w:p w14:paraId="1A53E6AF" w14:textId="77777777" w:rsidR="00165A46" w:rsidRPr="00165A46" w:rsidRDefault="00165A46" w:rsidP="00165A46"/>
    <w:p w14:paraId="75A6F80C" w14:textId="77777777" w:rsidR="00165A46" w:rsidRPr="00165A46" w:rsidRDefault="00165A46" w:rsidP="00165A46"/>
    <w:p w14:paraId="4E2683A1" w14:textId="77777777" w:rsidR="00165A46" w:rsidRPr="00165A46" w:rsidRDefault="00165A46" w:rsidP="00165A46"/>
    <w:p w14:paraId="7D476D4C" w14:textId="77777777" w:rsidR="00165A46" w:rsidRPr="00165A46" w:rsidRDefault="00165A46" w:rsidP="00165A46"/>
    <w:p w14:paraId="7A08CEC2" w14:textId="77777777" w:rsidR="00165A46" w:rsidRPr="00165A46" w:rsidRDefault="00165A46" w:rsidP="00165A46"/>
    <w:p w14:paraId="37A2F4FF" w14:textId="77777777" w:rsidR="00165A46" w:rsidRPr="00165A46" w:rsidRDefault="00165A46" w:rsidP="00165A46"/>
    <w:p w14:paraId="1783BC21" w14:textId="77777777" w:rsidR="00165A46" w:rsidRPr="00165A46" w:rsidRDefault="00165A46" w:rsidP="00165A46"/>
    <w:p w14:paraId="0B5A1E3E" w14:textId="77777777" w:rsidR="00165A46" w:rsidRPr="00165A46" w:rsidRDefault="00165A46" w:rsidP="00165A46"/>
    <w:p w14:paraId="0BF73AF8" w14:textId="77777777" w:rsidR="00165A46" w:rsidRPr="00165A46" w:rsidRDefault="00165A46" w:rsidP="00165A46"/>
    <w:p w14:paraId="15BE6179" w14:textId="77777777" w:rsidR="00165A46" w:rsidRPr="00165A46" w:rsidRDefault="00165A46" w:rsidP="00165A46"/>
    <w:p w14:paraId="0BEA0130" w14:textId="77777777" w:rsidR="00165A46" w:rsidRPr="00165A46" w:rsidRDefault="00165A46" w:rsidP="00165A46"/>
    <w:p w14:paraId="43434DF6" w14:textId="77777777" w:rsidR="00165A46" w:rsidRPr="00165A46" w:rsidRDefault="00165A46" w:rsidP="00165A46"/>
    <w:p w14:paraId="5E2E1C54" w14:textId="2B3C4C2E" w:rsidR="005B53E5" w:rsidRPr="00165A46" w:rsidRDefault="005B53E5" w:rsidP="00165A46"/>
    <w:sectPr w:rsidR="005B53E5" w:rsidRPr="00165A46" w:rsidSect="00F97CD7">
      <w:headerReference w:type="default" r:id="rId69"/>
      <w:footerReference w:type="default" r:id="rId70"/>
      <w:pgSz w:w="15840" w:h="12240" w:orient="landscape"/>
      <w:pgMar w:top="1440" w:right="720" w:bottom="1440" w:left="720" w:header="0" w:footer="288"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4B46D7" w14:textId="77777777" w:rsidR="002E7682" w:rsidRDefault="002E7682">
      <w:pPr>
        <w:spacing w:after="0" w:line="240" w:lineRule="auto"/>
      </w:pPr>
      <w:r>
        <w:separator/>
      </w:r>
    </w:p>
  </w:endnote>
  <w:endnote w:type="continuationSeparator" w:id="0">
    <w:p w14:paraId="1B73DD60" w14:textId="77777777" w:rsidR="002E7682" w:rsidRDefault="002E7682">
      <w:pPr>
        <w:spacing w:after="0" w:line="240" w:lineRule="auto"/>
      </w:pPr>
      <w:r>
        <w:continuationSeparator/>
      </w:r>
    </w:p>
  </w:endnote>
  <w:endnote w:type="continuationNotice" w:id="1">
    <w:p w14:paraId="742033D2" w14:textId="77777777" w:rsidR="002E7682" w:rsidRDefault="002E76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21002A87" w:usb1="00000000" w:usb2="00000000" w:usb3="00000000" w:csb0="000101FF" w:csb1="00000000"/>
  </w:font>
  <w:font w:name="Baskerville Old Face">
    <w:panose1 w:val="02020602080505020303"/>
    <w:charset w:val="00"/>
    <w:family w:val="roman"/>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1F7A53" w14:textId="77777777" w:rsidR="00A15EA1" w:rsidRDefault="00A15EA1" w:rsidP="00CF0FB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BD2DA83" w14:textId="77777777" w:rsidR="00A15EA1" w:rsidRDefault="00A15EA1" w:rsidP="009E455B">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28C331DE" w14:textId="77777777" w:rsidR="00A15EA1" w:rsidRDefault="00A15EA1" w:rsidP="009E455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4858C0" w14:textId="09D74AA9" w:rsidR="00A15EA1" w:rsidRDefault="00A15EA1" w:rsidP="0084323F">
    <w:pPr>
      <w:spacing w:after="0"/>
      <w:ind w:right="360"/>
      <w:rPr>
        <w:sz w:val="20"/>
        <w:szCs w:val="20"/>
      </w:rPr>
    </w:pPr>
  </w:p>
  <w:p w14:paraId="041E333A" w14:textId="77777777" w:rsidR="00A15EA1" w:rsidRPr="00315CB4" w:rsidRDefault="00A15EA1" w:rsidP="00167B25">
    <w:pPr>
      <w:spacing w:after="720"/>
      <w:ind w:right="360"/>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8"/>
      <w:gridCol w:w="828"/>
    </w:tblGrid>
    <w:tr w:rsidR="00A15EA1" w14:paraId="330F8E3A" w14:textId="77777777" w:rsidTr="00D15EB6">
      <w:trPr>
        <w:trHeight w:val="260"/>
      </w:trPr>
      <w:tc>
        <w:tcPr>
          <w:tcW w:w="8748" w:type="dxa"/>
        </w:tcPr>
        <w:p w14:paraId="469BC340" w14:textId="0980766B" w:rsidR="00A15EA1" w:rsidRPr="00D15EB6" w:rsidRDefault="00A15EA1" w:rsidP="0084323F">
          <w:pPr>
            <w:spacing w:after="0"/>
            <w:rPr>
              <w:rFonts w:ascii="Garamond" w:hAnsi="Garamond"/>
              <w:i/>
              <w:sz w:val="20"/>
              <w:szCs w:val="20"/>
            </w:rPr>
          </w:pPr>
          <w:r w:rsidRPr="00D15EB6">
            <w:rPr>
              <w:rFonts w:ascii="Garamond" w:hAnsi="Garamond"/>
              <w:i/>
              <w:sz w:val="20"/>
              <w:szCs w:val="20"/>
            </w:rPr>
            <w:t>CCoE CASTLE Guide</w:t>
          </w:r>
        </w:p>
      </w:tc>
      <w:tc>
        <w:tcPr>
          <w:tcW w:w="828" w:type="dxa"/>
        </w:tcPr>
        <w:sdt>
          <w:sdtPr>
            <w:id w:val="-1087996058"/>
            <w:docPartObj>
              <w:docPartGallery w:val="Page Numbers (Bottom of Page)"/>
              <w:docPartUnique/>
            </w:docPartObj>
          </w:sdtPr>
          <w:sdtEndPr>
            <w:rPr>
              <w:noProof/>
            </w:rPr>
          </w:sdtEndPr>
          <w:sdtContent>
            <w:p w14:paraId="609E46D0" w14:textId="31AFF2AB" w:rsidR="00A15EA1" w:rsidRDefault="00A15EA1" w:rsidP="0084323F">
              <w:pPr>
                <w:pStyle w:val="Footer"/>
                <w:jc w:val="right"/>
              </w:pPr>
              <w:r w:rsidRPr="00D15EB6">
                <w:rPr>
                  <w:rFonts w:ascii="Garamond" w:hAnsi="Garamond"/>
                  <w:sz w:val="20"/>
                  <w:szCs w:val="20"/>
                </w:rPr>
                <w:fldChar w:fldCharType="begin"/>
              </w:r>
              <w:r w:rsidRPr="00D15EB6">
                <w:rPr>
                  <w:rFonts w:ascii="Garamond" w:hAnsi="Garamond"/>
                  <w:sz w:val="20"/>
                  <w:szCs w:val="20"/>
                </w:rPr>
                <w:instrText xml:space="preserve"> PAGE   \* MERGEFORMAT </w:instrText>
              </w:r>
              <w:r w:rsidRPr="00D15EB6">
                <w:rPr>
                  <w:rFonts w:ascii="Garamond" w:hAnsi="Garamond"/>
                  <w:sz w:val="20"/>
                  <w:szCs w:val="20"/>
                </w:rPr>
                <w:fldChar w:fldCharType="separate"/>
              </w:r>
              <w:r w:rsidR="002558FE">
                <w:rPr>
                  <w:rFonts w:ascii="Garamond" w:hAnsi="Garamond"/>
                  <w:noProof/>
                  <w:sz w:val="20"/>
                  <w:szCs w:val="20"/>
                </w:rPr>
                <w:t>i</w:t>
              </w:r>
              <w:r w:rsidRPr="00D15EB6">
                <w:rPr>
                  <w:rFonts w:ascii="Garamond" w:hAnsi="Garamond"/>
                  <w:noProof/>
                  <w:sz w:val="20"/>
                  <w:szCs w:val="20"/>
                </w:rPr>
                <w:fldChar w:fldCharType="end"/>
              </w:r>
            </w:p>
          </w:sdtContent>
        </w:sdt>
      </w:tc>
    </w:tr>
  </w:tbl>
  <w:p w14:paraId="76D019CA" w14:textId="77777777" w:rsidR="00A15EA1" w:rsidRPr="00315CB4" w:rsidRDefault="00A15EA1" w:rsidP="00167B25">
    <w:pPr>
      <w:spacing w:after="720"/>
      <w:ind w:right="360"/>
      <w:rPr>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8"/>
      <w:gridCol w:w="828"/>
    </w:tblGrid>
    <w:tr w:rsidR="00A15EA1" w14:paraId="24592CA5" w14:textId="77777777" w:rsidTr="00D15EB6">
      <w:trPr>
        <w:trHeight w:val="260"/>
      </w:trPr>
      <w:tc>
        <w:tcPr>
          <w:tcW w:w="8748" w:type="dxa"/>
        </w:tcPr>
        <w:p w14:paraId="4F5070E2" w14:textId="77777777" w:rsidR="00A15EA1" w:rsidRPr="003D1A5B" w:rsidRDefault="00A15EA1" w:rsidP="0084323F">
          <w:pPr>
            <w:spacing w:after="0"/>
            <w:rPr>
              <w:rFonts w:ascii="Garamond" w:hAnsi="Garamond"/>
              <w:sz w:val="20"/>
              <w:szCs w:val="20"/>
            </w:rPr>
          </w:pPr>
          <w:r w:rsidRPr="003D1A5B">
            <w:rPr>
              <w:rFonts w:ascii="Garamond" w:hAnsi="Garamond"/>
              <w:sz w:val="20"/>
              <w:szCs w:val="20"/>
            </w:rPr>
            <w:t>CCoE CASTLE Guide</w:t>
          </w:r>
        </w:p>
      </w:tc>
      <w:tc>
        <w:tcPr>
          <w:tcW w:w="828" w:type="dxa"/>
        </w:tcPr>
        <w:sdt>
          <w:sdtPr>
            <w:id w:val="1922370288"/>
            <w:docPartObj>
              <w:docPartGallery w:val="Page Numbers (Bottom of Page)"/>
              <w:docPartUnique/>
            </w:docPartObj>
          </w:sdtPr>
          <w:sdtEndPr>
            <w:rPr>
              <w:noProof/>
            </w:rPr>
          </w:sdtEndPr>
          <w:sdtContent>
            <w:p w14:paraId="5C076FCF" w14:textId="30B6D69A" w:rsidR="00A15EA1" w:rsidRDefault="00A15EA1" w:rsidP="0084323F">
              <w:pPr>
                <w:pStyle w:val="Footer"/>
                <w:jc w:val="right"/>
              </w:pPr>
              <w:r w:rsidRPr="00D15EB6">
                <w:rPr>
                  <w:rFonts w:ascii="Garamond" w:hAnsi="Garamond"/>
                  <w:sz w:val="20"/>
                  <w:szCs w:val="20"/>
                </w:rPr>
                <w:fldChar w:fldCharType="begin"/>
              </w:r>
              <w:r w:rsidRPr="00D15EB6">
                <w:rPr>
                  <w:rFonts w:ascii="Garamond" w:hAnsi="Garamond"/>
                  <w:sz w:val="20"/>
                  <w:szCs w:val="20"/>
                </w:rPr>
                <w:instrText xml:space="preserve"> PAGE   \* MERGEFORMAT </w:instrText>
              </w:r>
              <w:r w:rsidRPr="00D15EB6">
                <w:rPr>
                  <w:rFonts w:ascii="Garamond" w:hAnsi="Garamond"/>
                  <w:sz w:val="20"/>
                  <w:szCs w:val="20"/>
                </w:rPr>
                <w:fldChar w:fldCharType="separate"/>
              </w:r>
              <w:r w:rsidR="002558FE">
                <w:rPr>
                  <w:rFonts w:ascii="Garamond" w:hAnsi="Garamond"/>
                  <w:noProof/>
                  <w:sz w:val="20"/>
                  <w:szCs w:val="20"/>
                </w:rPr>
                <w:t>45</w:t>
              </w:r>
              <w:r w:rsidRPr="00D15EB6">
                <w:rPr>
                  <w:rFonts w:ascii="Garamond" w:hAnsi="Garamond"/>
                  <w:noProof/>
                  <w:sz w:val="20"/>
                  <w:szCs w:val="20"/>
                </w:rPr>
                <w:fldChar w:fldCharType="end"/>
              </w:r>
            </w:p>
          </w:sdtContent>
        </w:sdt>
      </w:tc>
    </w:tr>
  </w:tbl>
  <w:p w14:paraId="0C12849F" w14:textId="77777777" w:rsidR="00A15EA1" w:rsidRPr="00315CB4" w:rsidRDefault="00A15EA1" w:rsidP="00167B25">
    <w:pPr>
      <w:spacing w:after="720"/>
      <w:ind w:right="360"/>
      <w:rPr>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29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39"/>
      <w:gridCol w:w="1121"/>
    </w:tblGrid>
    <w:tr w:rsidR="00A15EA1" w14:paraId="415534F4" w14:textId="77777777" w:rsidTr="00165A46">
      <w:trPr>
        <w:trHeight w:val="260"/>
        <w:jc w:val="center"/>
      </w:trPr>
      <w:tc>
        <w:tcPr>
          <w:tcW w:w="8748" w:type="dxa"/>
        </w:tcPr>
        <w:p w14:paraId="7A9EEC79" w14:textId="77777777" w:rsidR="00A15EA1" w:rsidRPr="003D1A5B" w:rsidRDefault="00A15EA1" w:rsidP="0084323F">
          <w:pPr>
            <w:spacing w:after="0"/>
            <w:rPr>
              <w:rFonts w:ascii="Garamond" w:hAnsi="Garamond"/>
              <w:sz w:val="20"/>
              <w:szCs w:val="20"/>
            </w:rPr>
          </w:pPr>
          <w:r w:rsidRPr="003D1A5B">
            <w:rPr>
              <w:rFonts w:ascii="Garamond" w:hAnsi="Garamond"/>
              <w:sz w:val="20"/>
              <w:szCs w:val="20"/>
            </w:rPr>
            <w:t>CCoE CASTLE Guide</w:t>
          </w:r>
        </w:p>
      </w:tc>
      <w:tc>
        <w:tcPr>
          <w:tcW w:w="828" w:type="dxa"/>
        </w:tcPr>
        <w:sdt>
          <w:sdtPr>
            <w:id w:val="1966072423"/>
            <w:docPartObj>
              <w:docPartGallery w:val="Page Numbers (Bottom of Page)"/>
              <w:docPartUnique/>
            </w:docPartObj>
          </w:sdtPr>
          <w:sdtEndPr>
            <w:rPr>
              <w:noProof/>
            </w:rPr>
          </w:sdtEndPr>
          <w:sdtContent>
            <w:p w14:paraId="3DE2D013" w14:textId="423137F1" w:rsidR="00A15EA1" w:rsidRDefault="00A15EA1" w:rsidP="0084323F">
              <w:pPr>
                <w:pStyle w:val="Footer"/>
                <w:jc w:val="right"/>
              </w:pPr>
              <w:r w:rsidRPr="00D15EB6">
                <w:rPr>
                  <w:rFonts w:ascii="Garamond" w:hAnsi="Garamond"/>
                  <w:sz w:val="20"/>
                  <w:szCs w:val="20"/>
                </w:rPr>
                <w:fldChar w:fldCharType="begin"/>
              </w:r>
              <w:r w:rsidRPr="00D15EB6">
                <w:rPr>
                  <w:rFonts w:ascii="Garamond" w:hAnsi="Garamond"/>
                  <w:sz w:val="20"/>
                  <w:szCs w:val="20"/>
                </w:rPr>
                <w:instrText xml:space="preserve"> PAGE   \* MERGEFORMAT </w:instrText>
              </w:r>
              <w:r w:rsidRPr="00D15EB6">
                <w:rPr>
                  <w:rFonts w:ascii="Garamond" w:hAnsi="Garamond"/>
                  <w:sz w:val="20"/>
                  <w:szCs w:val="20"/>
                </w:rPr>
                <w:fldChar w:fldCharType="separate"/>
              </w:r>
              <w:r w:rsidR="002558FE">
                <w:rPr>
                  <w:rFonts w:ascii="Garamond" w:hAnsi="Garamond"/>
                  <w:noProof/>
                  <w:sz w:val="20"/>
                  <w:szCs w:val="20"/>
                </w:rPr>
                <w:t>62</w:t>
              </w:r>
              <w:r w:rsidRPr="00D15EB6">
                <w:rPr>
                  <w:rFonts w:ascii="Garamond" w:hAnsi="Garamond"/>
                  <w:noProof/>
                  <w:sz w:val="20"/>
                  <w:szCs w:val="20"/>
                </w:rPr>
                <w:fldChar w:fldCharType="end"/>
              </w:r>
            </w:p>
          </w:sdtContent>
        </w:sdt>
      </w:tc>
    </w:tr>
  </w:tbl>
  <w:p w14:paraId="7CDD5C7D" w14:textId="77777777" w:rsidR="00A15EA1" w:rsidRPr="00315CB4" w:rsidRDefault="00A15EA1" w:rsidP="00167B25">
    <w:pPr>
      <w:spacing w:after="720"/>
      <w:ind w:right="360"/>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B05DC4" w14:textId="77777777" w:rsidR="002E7682" w:rsidRDefault="002E7682">
      <w:pPr>
        <w:spacing w:after="0" w:line="240" w:lineRule="auto"/>
      </w:pPr>
      <w:r>
        <w:separator/>
      </w:r>
    </w:p>
  </w:footnote>
  <w:footnote w:type="continuationSeparator" w:id="0">
    <w:p w14:paraId="7B79A5A7" w14:textId="77777777" w:rsidR="002E7682" w:rsidRDefault="002E7682">
      <w:pPr>
        <w:spacing w:after="0" w:line="240" w:lineRule="auto"/>
      </w:pPr>
      <w:r>
        <w:continuationSeparator/>
      </w:r>
    </w:p>
  </w:footnote>
  <w:footnote w:type="continuationNotice" w:id="1">
    <w:p w14:paraId="7A32EC60" w14:textId="77777777" w:rsidR="002E7682" w:rsidRDefault="002E7682">
      <w:pPr>
        <w:spacing w:after="0" w:line="240" w:lineRule="auto"/>
      </w:pPr>
    </w:p>
  </w:footnote>
  <w:footnote w:id="2">
    <w:p w14:paraId="2628D554" w14:textId="77777777" w:rsidR="00A15EA1" w:rsidRDefault="00A15EA1">
      <w:pPr>
        <w:spacing w:after="0" w:line="240" w:lineRule="auto"/>
      </w:pPr>
      <w:r>
        <w:rPr>
          <w:vertAlign w:val="superscript"/>
        </w:rPr>
        <w:footnoteRef/>
      </w:r>
      <w:r>
        <w:rPr>
          <w:sz w:val="20"/>
          <w:szCs w:val="20"/>
        </w:rPr>
        <w:t xml:space="preserve"> </w:t>
      </w:r>
      <w:hyperlink r:id="rId1">
        <w:r>
          <w:rPr>
            <w:color w:val="1155CC"/>
            <w:sz w:val="20"/>
            <w:szCs w:val="20"/>
            <w:u w:val="single"/>
          </w:rPr>
          <w:t>http://nvlpubs.nist.gov/nistpubs/Legacy/SP/nistspecialpublication800-145.pdf</w:t>
        </w:r>
      </w:hyperlink>
      <w:hyperlink r:id="rId2"/>
    </w:p>
  </w:footnote>
  <w:footnote w:id="3">
    <w:p w14:paraId="078CBD94" w14:textId="77777777" w:rsidR="00A15EA1" w:rsidRDefault="00A15EA1">
      <w:pPr>
        <w:spacing w:after="0" w:line="240" w:lineRule="auto"/>
        <w:rPr>
          <w:sz w:val="20"/>
          <w:szCs w:val="20"/>
        </w:rPr>
      </w:pPr>
      <w:r>
        <w:rPr>
          <w:vertAlign w:val="superscript"/>
        </w:rPr>
        <w:footnoteRef/>
      </w:r>
      <w:r>
        <w:rPr>
          <w:sz w:val="20"/>
          <w:szCs w:val="20"/>
        </w:rPr>
        <w:t xml:space="preserve"> </w:t>
      </w:r>
      <w:r w:rsidRPr="00306F63">
        <w:rPr>
          <w:sz w:val="20"/>
          <w:szCs w:val="20"/>
        </w:rPr>
        <w:t>Cloud migration services SOO templates</w:t>
      </w:r>
      <w:r>
        <w:rPr>
          <w:sz w:val="20"/>
          <w:szCs w:val="20"/>
        </w:rPr>
        <w:t xml:space="preserve"> </w:t>
      </w:r>
      <w:hyperlink r:id="rId3">
        <w:r>
          <w:rPr>
            <w:color w:val="1155CC"/>
            <w:sz w:val="20"/>
            <w:szCs w:val="20"/>
            <w:u w:val="single"/>
          </w:rPr>
          <w:t>https://gsa.gov/portal/content/141191</w:t>
        </w:r>
      </w:hyperlink>
      <w:r>
        <w:rPr>
          <w:sz w:val="20"/>
          <w:szCs w:val="20"/>
        </w:rPr>
        <w:t xml:space="preserve"> </w:t>
      </w:r>
    </w:p>
  </w:footnote>
  <w:footnote w:id="4">
    <w:p w14:paraId="3D5183DF" w14:textId="77777777" w:rsidR="00A15EA1" w:rsidRDefault="00A15EA1">
      <w:pPr>
        <w:spacing w:after="0" w:line="240" w:lineRule="auto"/>
        <w:rPr>
          <w:sz w:val="20"/>
          <w:szCs w:val="20"/>
        </w:rPr>
      </w:pPr>
      <w:r>
        <w:rPr>
          <w:vertAlign w:val="superscript"/>
        </w:rPr>
        <w:footnoteRef/>
      </w:r>
      <w:r>
        <w:rPr>
          <w:sz w:val="20"/>
          <w:szCs w:val="20"/>
        </w:rPr>
        <w:t xml:space="preserve"> </w:t>
      </w:r>
      <w:hyperlink r:id="rId4">
        <w:r>
          <w:rPr>
            <w:color w:val="1155CC"/>
            <w:sz w:val="20"/>
            <w:szCs w:val="20"/>
            <w:u w:val="single"/>
          </w:rPr>
          <w:t>https://www.dhs.gov/trusted-internet-connections</w:t>
        </w:r>
      </w:hyperlink>
      <w:r>
        <w:rPr>
          <w:sz w:val="20"/>
          <w:szCs w:val="20"/>
        </w:rPr>
        <w:t xml:space="preserve"> </w:t>
      </w:r>
    </w:p>
  </w:footnote>
  <w:footnote w:id="5">
    <w:p w14:paraId="7B3CE92F" w14:textId="2438E755" w:rsidR="00A15EA1" w:rsidRDefault="00A15EA1">
      <w:pPr>
        <w:spacing w:after="0" w:line="240" w:lineRule="auto"/>
        <w:rPr>
          <w:sz w:val="20"/>
          <w:szCs w:val="20"/>
        </w:rPr>
      </w:pPr>
      <w:r>
        <w:rPr>
          <w:vertAlign w:val="superscript"/>
        </w:rPr>
        <w:footnoteRef/>
      </w:r>
      <w:r>
        <w:rPr>
          <w:sz w:val="20"/>
          <w:szCs w:val="20"/>
        </w:rPr>
        <w:t xml:space="preserve"> CSP justification is discussed within other Scenarios.</w:t>
      </w:r>
    </w:p>
  </w:footnote>
  <w:footnote w:id="6">
    <w:p w14:paraId="2752B522" w14:textId="22738EE4" w:rsidR="00A15EA1" w:rsidRDefault="00A15EA1">
      <w:pPr>
        <w:pStyle w:val="FootnoteText"/>
      </w:pPr>
      <w:r>
        <w:rPr>
          <w:rStyle w:val="FootnoteReference"/>
        </w:rPr>
        <w:footnoteRef/>
      </w:r>
      <w:r w:rsidRPr="00094063">
        <w:rPr>
          <w:sz w:val="20"/>
          <w:szCs w:val="20"/>
        </w:rPr>
        <w:t xml:space="preserve"> </w:t>
      </w:r>
      <w:hyperlink r:id="rId5" w:history="1">
        <w:r w:rsidRPr="00057462">
          <w:rPr>
            <w:rStyle w:val="Hyperlink"/>
            <w:sz w:val="20"/>
            <w:szCs w:val="20"/>
          </w:rPr>
          <w:t>https://s3.amazonaws.com/sitesusa/wp-content/uploads/sites/482/2015/03/FedRAMP_Standard_Contractual_Clauses_062712_0.pdf</w:t>
        </w:r>
      </w:hyperlink>
    </w:p>
  </w:footnote>
  <w:footnote w:id="7">
    <w:p w14:paraId="6ACAB4D8" w14:textId="77777777" w:rsidR="00A15EA1" w:rsidRDefault="00A15EA1">
      <w:pPr>
        <w:spacing w:after="0" w:line="240" w:lineRule="auto"/>
        <w:rPr>
          <w:sz w:val="20"/>
          <w:szCs w:val="20"/>
        </w:rPr>
      </w:pPr>
      <w:r>
        <w:rPr>
          <w:vertAlign w:val="superscript"/>
        </w:rPr>
        <w:footnoteRef/>
      </w:r>
      <w:r>
        <w:rPr>
          <w:sz w:val="20"/>
          <w:szCs w:val="20"/>
        </w:rPr>
        <w:t xml:space="preserve"> “Creating Effective Cloud Computing Contracts for the Federal Government.” February 2012. </w:t>
      </w:r>
      <w:hyperlink r:id="rId6">
        <w:r>
          <w:rPr>
            <w:color w:val="1155CC"/>
            <w:sz w:val="20"/>
            <w:szCs w:val="20"/>
            <w:u w:val="single"/>
          </w:rPr>
          <w:t>https://cio.gov/wp-content/uploads/downloads/2012/09/cloudbestpractices.pdf</w:t>
        </w:r>
      </w:hyperlink>
      <w:r>
        <w:rPr>
          <w:sz w:val="20"/>
          <w:szCs w:val="20"/>
        </w:rPr>
        <w:t xml:space="preserve"> </w:t>
      </w:r>
    </w:p>
  </w:footnote>
  <w:footnote w:id="8">
    <w:p w14:paraId="7D88BD93" w14:textId="77777777" w:rsidR="00A15EA1" w:rsidRDefault="00A15EA1">
      <w:pPr>
        <w:spacing w:after="0" w:line="240" w:lineRule="auto"/>
        <w:rPr>
          <w:sz w:val="20"/>
          <w:szCs w:val="20"/>
        </w:rPr>
      </w:pPr>
      <w:r>
        <w:rPr>
          <w:vertAlign w:val="superscript"/>
        </w:rPr>
        <w:footnoteRef/>
      </w:r>
      <w:r>
        <w:rPr>
          <w:sz w:val="20"/>
          <w:szCs w:val="20"/>
        </w:rPr>
        <w:t xml:space="preserve"> “Creating Effective Cloud Computing Contracts for the Federal Government.” February 2012. </w:t>
      </w:r>
      <w:hyperlink r:id="rId7">
        <w:r>
          <w:rPr>
            <w:color w:val="1155CC"/>
            <w:sz w:val="20"/>
            <w:szCs w:val="20"/>
            <w:u w:val="single"/>
          </w:rPr>
          <w:t>https://cio.gov/wp-content/uploads/downloads/2012/09/cloudbestpractices.pdf</w:t>
        </w:r>
      </w:hyperlink>
      <w:r>
        <w:rPr>
          <w:sz w:val="20"/>
          <w:szCs w:val="20"/>
        </w:rPr>
        <w:t xml:space="preserve"> </w:t>
      </w:r>
    </w:p>
  </w:footnote>
  <w:footnote w:id="9">
    <w:p w14:paraId="01DD9B08" w14:textId="77777777" w:rsidR="00A15EA1" w:rsidRDefault="00A15EA1">
      <w:pPr>
        <w:spacing w:after="0" w:line="240" w:lineRule="auto"/>
        <w:rPr>
          <w:sz w:val="20"/>
          <w:szCs w:val="20"/>
        </w:rPr>
      </w:pPr>
      <w:r>
        <w:rPr>
          <w:vertAlign w:val="superscript"/>
        </w:rPr>
        <w:footnoteRef/>
      </w:r>
      <w:r>
        <w:rPr>
          <w:sz w:val="20"/>
          <w:szCs w:val="20"/>
        </w:rPr>
        <w:t xml:space="preserve"> Ibid.</w:t>
      </w:r>
    </w:p>
  </w:footnote>
  <w:footnote w:id="10">
    <w:p w14:paraId="498CD69C" w14:textId="3A7D725F" w:rsidR="00A15EA1" w:rsidRDefault="00A15EA1">
      <w:pPr>
        <w:pStyle w:val="FootnoteText"/>
      </w:pPr>
      <w:r w:rsidRPr="00A93834">
        <w:rPr>
          <w:rStyle w:val="FootnoteReference"/>
          <w:sz w:val="20"/>
        </w:rPr>
        <w:footnoteRef/>
      </w:r>
      <w:r w:rsidRPr="00A93834">
        <w:rPr>
          <w:sz w:val="20"/>
        </w:rPr>
        <w:t xml:space="preserve"> Additional detail on requirements documents </w:t>
      </w:r>
      <w:r>
        <w:rPr>
          <w:sz w:val="20"/>
        </w:rPr>
        <w:t xml:space="preserve">is </w:t>
      </w:r>
      <w:r w:rsidRPr="00A93834">
        <w:rPr>
          <w:sz w:val="20"/>
        </w:rPr>
        <w:t xml:space="preserve">at </w:t>
      </w:r>
      <w:hyperlink r:id="rId8" w:history="1">
        <w:r w:rsidRPr="00A93834">
          <w:rPr>
            <w:rStyle w:val="Hyperlink"/>
            <w:sz w:val="20"/>
          </w:rPr>
          <w:t>https://www.gsa.gov/MASDESKTOP/section7_3.html</w:t>
        </w:r>
      </w:hyperlink>
      <w:r w:rsidRPr="00A93834">
        <w:rPr>
          <w:sz w:val="20"/>
        </w:rPr>
        <w:t>.</w:t>
      </w:r>
    </w:p>
  </w:footnote>
  <w:footnote w:id="11">
    <w:p w14:paraId="7B08711C" w14:textId="77777777" w:rsidR="00A15EA1" w:rsidRDefault="00A15EA1" w:rsidP="008E1EAF">
      <w:pPr>
        <w:spacing w:after="0" w:line="240" w:lineRule="auto"/>
      </w:pPr>
      <w:r>
        <w:rPr>
          <w:vertAlign w:val="superscript"/>
        </w:rPr>
        <w:footnoteRef/>
      </w:r>
      <w:r>
        <w:rPr>
          <w:sz w:val="20"/>
          <w:szCs w:val="20"/>
        </w:rPr>
        <w:t xml:space="preserve"> DoD-originated acquisitions require any Cloud Service Offering (CSO) to already possess a Provisional Authority (PA) at the appropriate Impact Level per </w:t>
      </w:r>
      <w:hyperlink r:id="rId9">
        <w:r>
          <w:rPr>
            <w:color w:val="1155CC"/>
            <w:sz w:val="20"/>
            <w:szCs w:val="20"/>
            <w:u w:val="single"/>
          </w:rPr>
          <w:t>DFARS Subpart 239.7602-1(b)(1)</w:t>
        </w:r>
      </w:hyperlink>
    </w:p>
  </w:footnote>
  <w:footnote w:id="12">
    <w:p w14:paraId="6294ECCD" w14:textId="749681CD" w:rsidR="00A15EA1" w:rsidRDefault="00A15EA1">
      <w:pPr>
        <w:pStyle w:val="FootnoteText"/>
      </w:pPr>
      <w:r w:rsidRPr="00657E07">
        <w:rPr>
          <w:rStyle w:val="FootnoteReference"/>
          <w:sz w:val="20"/>
        </w:rPr>
        <w:footnoteRef/>
      </w:r>
      <w:r w:rsidRPr="00657E07">
        <w:rPr>
          <w:sz w:val="20"/>
        </w:rPr>
        <w:t xml:space="preserve"> Army ACCENT was issued as a basic ordering agreement (BOA) under FAR 16.7. </w:t>
      </w:r>
    </w:p>
  </w:footnote>
  <w:footnote w:id="13">
    <w:p w14:paraId="4B069C4A" w14:textId="717FFFEB" w:rsidR="00A15EA1" w:rsidRPr="00EA5C65" w:rsidRDefault="00A15EA1">
      <w:pPr>
        <w:pStyle w:val="FootnoteText"/>
        <w:rPr>
          <w:sz w:val="20"/>
          <w:szCs w:val="20"/>
        </w:rPr>
      </w:pPr>
      <w:r w:rsidRPr="00EA5C65">
        <w:rPr>
          <w:rStyle w:val="FootnoteReference"/>
          <w:sz w:val="20"/>
          <w:szCs w:val="20"/>
        </w:rPr>
        <w:footnoteRef/>
      </w:r>
      <w:r w:rsidRPr="00EA5C65">
        <w:rPr>
          <w:sz w:val="20"/>
          <w:szCs w:val="20"/>
        </w:rPr>
        <w:t xml:space="preserve"> </w:t>
      </w:r>
      <w:r>
        <w:rPr>
          <w:sz w:val="20"/>
          <w:szCs w:val="20"/>
        </w:rPr>
        <w:t xml:space="preserve">Expanded cloud definitions available in NIST SP 800-292 </w:t>
      </w:r>
      <w:hyperlink r:id="rId10" w:history="1">
        <w:r w:rsidRPr="003718D0">
          <w:rPr>
            <w:rStyle w:val="Hyperlink"/>
            <w:i/>
            <w:sz w:val="20"/>
            <w:szCs w:val="20"/>
          </w:rPr>
          <w:t>NIST Cloud Computing Reference Architecture</w:t>
        </w:r>
      </w:hyperlink>
      <w:r>
        <w:rPr>
          <w:sz w:val="20"/>
          <w:szCs w:val="20"/>
        </w:rPr>
        <w:t>.</w:t>
      </w:r>
    </w:p>
  </w:footnote>
  <w:footnote w:id="14">
    <w:p w14:paraId="7D112D52" w14:textId="6E2CB6A4" w:rsidR="00A15EA1" w:rsidRDefault="00A15EA1">
      <w:pPr>
        <w:pStyle w:val="FootnoteText"/>
      </w:pPr>
      <w:r w:rsidRPr="007C3C21">
        <w:rPr>
          <w:rStyle w:val="FootnoteReference"/>
          <w:sz w:val="20"/>
        </w:rPr>
        <w:footnoteRef/>
      </w:r>
      <w:r w:rsidRPr="007C3C21">
        <w:rPr>
          <w:sz w:val="20"/>
        </w:rPr>
        <w:t xml:space="preserve"> Referenced in existing clause.</w:t>
      </w:r>
    </w:p>
  </w:footnote>
  <w:footnote w:id="15">
    <w:p w14:paraId="70DFFAAF" w14:textId="165C06AF" w:rsidR="00A15EA1" w:rsidRDefault="00A15EA1">
      <w:pPr>
        <w:pStyle w:val="FootnoteText"/>
      </w:pPr>
      <w:r w:rsidRPr="007C3C21">
        <w:rPr>
          <w:rStyle w:val="FootnoteReference"/>
          <w:sz w:val="20"/>
        </w:rPr>
        <w:footnoteRef/>
      </w:r>
      <w:r w:rsidRPr="007C3C21">
        <w:rPr>
          <w:sz w:val="20"/>
        </w:rPr>
        <w:t xml:space="preserve"> Referenced in another FAR Clause.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69E333" w14:textId="13BF4CA4" w:rsidR="00A15EA1" w:rsidRPr="00D15EB6" w:rsidRDefault="00A15EA1" w:rsidP="00D15EB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4DF361" w14:textId="68322AFE" w:rsidR="00A15EA1" w:rsidRDefault="00A15EA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7C772" w14:textId="1F4966D0" w:rsidR="00A15EA1" w:rsidRDefault="00A15EA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0C8AF4" w14:textId="7AFF0EC3" w:rsidR="00A15EA1" w:rsidRPr="00D15EB6" w:rsidRDefault="00A15EA1" w:rsidP="00D15EB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33E34E" w14:textId="56DC4C74" w:rsidR="00A15EA1" w:rsidRPr="0038784E" w:rsidRDefault="00A15EA1" w:rsidP="0038784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6AA48D" w14:textId="3B7DEFE7" w:rsidR="00A15EA1" w:rsidRDefault="00A15EA1" w:rsidP="00624275">
    <w:pPr>
      <w:pStyle w:val="Header"/>
      <w:tabs>
        <w:tab w:val="clear" w:pos="9360"/>
        <w:tab w:val="left" w:pos="1440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96F18"/>
    <w:multiLevelType w:val="multilevel"/>
    <w:tmpl w:val="B4AA8A16"/>
    <w:lvl w:ilvl="0">
      <w:start w:val="1"/>
      <w:numFmt w:val="bullet"/>
      <w:pStyle w:val="BodyBullet2"/>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03D70A96"/>
    <w:multiLevelType w:val="multilevel"/>
    <w:tmpl w:val="79041EC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15:restartNumberingAfterBreak="0">
    <w:nsid w:val="0BA610E6"/>
    <w:multiLevelType w:val="hybridMultilevel"/>
    <w:tmpl w:val="DE80564C"/>
    <w:lvl w:ilvl="0" w:tplc="00D2F300">
      <w:start w:val="1"/>
      <w:numFmt w:val="bullet"/>
      <w:pStyle w:val="CallOutBox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D63FAF"/>
    <w:multiLevelType w:val="multilevel"/>
    <w:tmpl w:val="7B8072C0"/>
    <w:lvl w:ilvl="0">
      <w:start w:val="1"/>
      <w:numFmt w:val="decimal"/>
      <w:pStyle w:val="Heading1"/>
      <w:suff w:val="space"/>
      <w:lvlText w:val="%1."/>
      <w:lvlJc w:val="left"/>
      <w:pPr>
        <w:ind w:left="0" w:firstLine="0"/>
      </w:pPr>
      <w:rPr>
        <w:rFonts w:hint="default"/>
        <w:color w:val="4F81BD" w:themeColor="accent1"/>
        <w:sz w:val="40"/>
        <w:szCs w:val="40"/>
      </w:rPr>
    </w:lvl>
    <w:lvl w:ilvl="1">
      <w:start w:val="2"/>
      <w:numFmt w:val="decimal"/>
      <w:pStyle w:val="Heading2"/>
      <w:isLgl/>
      <w:suff w:val="space"/>
      <w:lvlText w:val="%1.%2"/>
      <w:lvlJc w:val="left"/>
      <w:pPr>
        <w:ind w:left="0" w:firstLine="0"/>
      </w:pPr>
      <w:rPr>
        <w:rFonts w:hint="default"/>
      </w:rPr>
    </w:lvl>
    <w:lvl w:ilvl="2">
      <w:start w:val="1"/>
      <w:numFmt w:val="decimal"/>
      <w:pStyle w:val="Heading3"/>
      <w:isLgl/>
      <w:suff w:val="space"/>
      <w:lvlText w:val="%1.%2.%3"/>
      <w:lvlJc w:val="left"/>
      <w:pPr>
        <w:ind w:left="0" w:firstLine="0"/>
      </w:pPr>
      <w:rPr>
        <w:rFonts w:hint="default"/>
      </w:rPr>
    </w:lvl>
    <w:lvl w:ilvl="3">
      <w:start w:val="1"/>
      <w:numFmt w:val="decimal"/>
      <w:pStyle w:val="Heading4"/>
      <w:isLgl/>
      <w:suff w:val="space"/>
      <w:lvlText w:val="%1.%2.%3.%4"/>
      <w:lvlJc w:val="left"/>
      <w:pPr>
        <w:ind w:left="0" w:firstLine="0"/>
      </w:pPr>
      <w:rPr>
        <w:rFonts w:hint="default"/>
      </w:rPr>
    </w:lvl>
    <w:lvl w:ilvl="4">
      <w:start w:val="1"/>
      <w:numFmt w:val="decimal"/>
      <w:pStyle w:val="Heading5"/>
      <w:isLgl/>
      <w:suff w:val="space"/>
      <w:lvlText w:val="%1.%2.%3.%4.%5"/>
      <w:lvlJc w:val="left"/>
      <w:pPr>
        <w:ind w:left="0" w:firstLine="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4" w15:restartNumberingAfterBreak="0">
    <w:nsid w:val="1F8C72BC"/>
    <w:multiLevelType w:val="hybridMultilevel"/>
    <w:tmpl w:val="CC905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AC511F"/>
    <w:multiLevelType w:val="multilevel"/>
    <w:tmpl w:val="8F5AFF4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21ED387D"/>
    <w:multiLevelType w:val="hybridMultilevel"/>
    <w:tmpl w:val="B9822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412549"/>
    <w:multiLevelType w:val="multilevel"/>
    <w:tmpl w:val="3D3C9B5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15:restartNumberingAfterBreak="0">
    <w:nsid w:val="277859B8"/>
    <w:multiLevelType w:val="hybridMultilevel"/>
    <w:tmpl w:val="704A4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663803"/>
    <w:multiLevelType w:val="multilevel"/>
    <w:tmpl w:val="2E0259B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15:restartNumberingAfterBreak="0">
    <w:nsid w:val="3CF003A1"/>
    <w:multiLevelType w:val="multilevel"/>
    <w:tmpl w:val="D28E1176"/>
    <w:lvl w:ilvl="0">
      <w:start w:val="1"/>
      <w:numFmt w:val="decimal"/>
      <w:suff w:val="space"/>
      <w:lvlText w:val="%1."/>
      <w:lvlJc w:val="left"/>
      <w:pPr>
        <w:ind w:left="0" w:firstLine="0"/>
      </w:pPr>
      <w:rPr>
        <w:rFonts w:hint="default"/>
        <w:color w:val="4F81BD" w:themeColor="accent1"/>
        <w:sz w:val="40"/>
        <w:szCs w:val="40"/>
      </w:rPr>
    </w:lvl>
    <w:lvl w:ilvl="1">
      <w:start w:val="1"/>
      <w:numFmt w:val="decimal"/>
      <w:suff w:val="space"/>
      <w:lvlText w:val="%2.%1"/>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suff w:val="space"/>
      <w:lvlText w:val="%1.%2.%3.%4.%5"/>
      <w:lvlJc w:val="left"/>
      <w:pPr>
        <w:ind w:left="0" w:firstLine="0"/>
      </w:pPr>
      <w:rPr>
        <w:rFonts w:hint="default"/>
      </w:rPr>
    </w:lvl>
    <w:lvl w:ilvl="5">
      <w:start w:val="1"/>
      <w:numFmt w:val="decimal"/>
      <w:pStyle w:val="Heading6"/>
      <w:suff w:val="space"/>
      <w:lvlText w:val="%1.%2.%3.%4.%5.%6"/>
      <w:lvlJc w:val="left"/>
      <w:pPr>
        <w:ind w:left="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DD37AC7"/>
    <w:multiLevelType w:val="hybridMultilevel"/>
    <w:tmpl w:val="63BA4598"/>
    <w:lvl w:ilvl="0" w:tplc="4F2841F6">
      <w:start w:val="1"/>
      <w:numFmt w:val="bullet"/>
      <w:pStyle w:val="BodyBullet1"/>
      <w:lvlText w:val=""/>
      <w:lvlJc w:val="left"/>
      <w:pPr>
        <w:ind w:left="1440" w:hanging="360"/>
      </w:pPr>
      <w:rPr>
        <w:rFonts w:ascii="Symbol" w:hAnsi="Symbol" w:hint="default"/>
        <w:color w:val="1F497D" w:themeColor="text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2B55B59"/>
    <w:multiLevelType w:val="hybridMultilevel"/>
    <w:tmpl w:val="5FC6B7DC"/>
    <w:lvl w:ilvl="0" w:tplc="1F9628C8">
      <w:start w:val="1"/>
      <w:numFmt w:val="bullet"/>
      <w:lvlText w:val="•"/>
      <w:lvlJc w:val="left"/>
      <w:pPr>
        <w:tabs>
          <w:tab w:val="num" w:pos="720"/>
        </w:tabs>
        <w:ind w:left="720" w:hanging="360"/>
      </w:pPr>
      <w:rPr>
        <w:rFonts w:ascii="Arial" w:hAnsi="Arial" w:hint="default"/>
      </w:rPr>
    </w:lvl>
    <w:lvl w:ilvl="1" w:tplc="0A1AF050" w:tentative="1">
      <w:start w:val="1"/>
      <w:numFmt w:val="bullet"/>
      <w:lvlText w:val="•"/>
      <w:lvlJc w:val="left"/>
      <w:pPr>
        <w:tabs>
          <w:tab w:val="num" w:pos="1440"/>
        </w:tabs>
        <w:ind w:left="1440" w:hanging="360"/>
      </w:pPr>
      <w:rPr>
        <w:rFonts w:ascii="Arial" w:hAnsi="Arial" w:hint="default"/>
      </w:rPr>
    </w:lvl>
    <w:lvl w:ilvl="2" w:tplc="E3DE60FC" w:tentative="1">
      <w:start w:val="1"/>
      <w:numFmt w:val="bullet"/>
      <w:lvlText w:val="•"/>
      <w:lvlJc w:val="left"/>
      <w:pPr>
        <w:tabs>
          <w:tab w:val="num" w:pos="2160"/>
        </w:tabs>
        <w:ind w:left="2160" w:hanging="360"/>
      </w:pPr>
      <w:rPr>
        <w:rFonts w:ascii="Arial" w:hAnsi="Arial" w:hint="default"/>
      </w:rPr>
    </w:lvl>
    <w:lvl w:ilvl="3" w:tplc="21AAC1B4" w:tentative="1">
      <w:start w:val="1"/>
      <w:numFmt w:val="bullet"/>
      <w:lvlText w:val="•"/>
      <w:lvlJc w:val="left"/>
      <w:pPr>
        <w:tabs>
          <w:tab w:val="num" w:pos="2880"/>
        </w:tabs>
        <w:ind w:left="2880" w:hanging="360"/>
      </w:pPr>
      <w:rPr>
        <w:rFonts w:ascii="Arial" w:hAnsi="Arial" w:hint="default"/>
      </w:rPr>
    </w:lvl>
    <w:lvl w:ilvl="4" w:tplc="B95A4E18" w:tentative="1">
      <w:start w:val="1"/>
      <w:numFmt w:val="bullet"/>
      <w:lvlText w:val="•"/>
      <w:lvlJc w:val="left"/>
      <w:pPr>
        <w:tabs>
          <w:tab w:val="num" w:pos="3600"/>
        </w:tabs>
        <w:ind w:left="3600" w:hanging="360"/>
      </w:pPr>
      <w:rPr>
        <w:rFonts w:ascii="Arial" w:hAnsi="Arial" w:hint="default"/>
      </w:rPr>
    </w:lvl>
    <w:lvl w:ilvl="5" w:tplc="4E78A3F2" w:tentative="1">
      <w:start w:val="1"/>
      <w:numFmt w:val="bullet"/>
      <w:lvlText w:val="•"/>
      <w:lvlJc w:val="left"/>
      <w:pPr>
        <w:tabs>
          <w:tab w:val="num" w:pos="4320"/>
        </w:tabs>
        <w:ind w:left="4320" w:hanging="360"/>
      </w:pPr>
      <w:rPr>
        <w:rFonts w:ascii="Arial" w:hAnsi="Arial" w:hint="default"/>
      </w:rPr>
    </w:lvl>
    <w:lvl w:ilvl="6" w:tplc="E66C8048" w:tentative="1">
      <w:start w:val="1"/>
      <w:numFmt w:val="bullet"/>
      <w:lvlText w:val="•"/>
      <w:lvlJc w:val="left"/>
      <w:pPr>
        <w:tabs>
          <w:tab w:val="num" w:pos="5040"/>
        </w:tabs>
        <w:ind w:left="5040" w:hanging="360"/>
      </w:pPr>
      <w:rPr>
        <w:rFonts w:ascii="Arial" w:hAnsi="Arial" w:hint="default"/>
      </w:rPr>
    </w:lvl>
    <w:lvl w:ilvl="7" w:tplc="E314FF78" w:tentative="1">
      <w:start w:val="1"/>
      <w:numFmt w:val="bullet"/>
      <w:lvlText w:val="•"/>
      <w:lvlJc w:val="left"/>
      <w:pPr>
        <w:tabs>
          <w:tab w:val="num" w:pos="5760"/>
        </w:tabs>
        <w:ind w:left="5760" w:hanging="360"/>
      </w:pPr>
      <w:rPr>
        <w:rFonts w:ascii="Arial" w:hAnsi="Arial" w:hint="default"/>
      </w:rPr>
    </w:lvl>
    <w:lvl w:ilvl="8" w:tplc="2B48BC4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4360ABD"/>
    <w:multiLevelType w:val="hybridMultilevel"/>
    <w:tmpl w:val="6D024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967780"/>
    <w:multiLevelType w:val="hybridMultilevel"/>
    <w:tmpl w:val="842605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F8100A"/>
    <w:multiLevelType w:val="multilevel"/>
    <w:tmpl w:val="14602B9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6" w15:restartNumberingAfterBreak="0">
    <w:nsid w:val="576178BC"/>
    <w:multiLevelType w:val="hybridMultilevel"/>
    <w:tmpl w:val="4A924DD8"/>
    <w:lvl w:ilvl="0" w:tplc="C6261706">
      <w:start w:val="1"/>
      <w:numFmt w:val="bullet"/>
      <w:lvlText w:val="•"/>
      <w:lvlJc w:val="left"/>
      <w:pPr>
        <w:tabs>
          <w:tab w:val="num" w:pos="720"/>
        </w:tabs>
        <w:ind w:left="720" w:hanging="360"/>
      </w:pPr>
      <w:rPr>
        <w:rFonts w:ascii="Arial" w:hAnsi="Arial" w:hint="default"/>
      </w:rPr>
    </w:lvl>
    <w:lvl w:ilvl="1" w:tplc="B9A0D46A" w:tentative="1">
      <w:start w:val="1"/>
      <w:numFmt w:val="bullet"/>
      <w:lvlText w:val="•"/>
      <w:lvlJc w:val="left"/>
      <w:pPr>
        <w:tabs>
          <w:tab w:val="num" w:pos="1440"/>
        </w:tabs>
        <w:ind w:left="1440" w:hanging="360"/>
      </w:pPr>
      <w:rPr>
        <w:rFonts w:ascii="Arial" w:hAnsi="Arial" w:hint="default"/>
      </w:rPr>
    </w:lvl>
    <w:lvl w:ilvl="2" w:tplc="6FCC4B3E" w:tentative="1">
      <w:start w:val="1"/>
      <w:numFmt w:val="bullet"/>
      <w:lvlText w:val="•"/>
      <w:lvlJc w:val="left"/>
      <w:pPr>
        <w:tabs>
          <w:tab w:val="num" w:pos="2160"/>
        </w:tabs>
        <w:ind w:left="2160" w:hanging="360"/>
      </w:pPr>
      <w:rPr>
        <w:rFonts w:ascii="Arial" w:hAnsi="Arial" w:hint="default"/>
      </w:rPr>
    </w:lvl>
    <w:lvl w:ilvl="3" w:tplc="0D0CDE20" w:tentative="1">
      <w:start w:val="1"/>
      <w:numFmt w:val="bullet"/>
      <w:lvlText w:val="•"/>
      <w:lvlJc w:val="left"/>
      <w:pPr>
        <w:tabs>
          <w:tab w:val="num" w:pos="2880"/>
        </w:tabs>
        <w:ind w:left="2880" w:hanging="360"/>
      </w:pPr>
      <w:rPr>
        <w:rFonts w:ascii="Arial" w:hAnsi="Arial" w:hint="default"/>
      </w:rPr>
    </w:lvl>
    <w:lvl w:ilvl="4" w:tplc="35382374" w:tentative="1">
      <w:start w:val="1"/>
      <w:numFmt w:val="bullet"/>
      <w:lvlText w:val="•"/>
      <w:lvlJc w:val="left"/>
      <w:pPr>
        <w:tabs>
          <w:tab w:val="num" w:pos="3600"/>
        </w:tabs>
        <w:ind w:left="3600" w:hanging="360"/>
      </w:pPr>
      <w:rPr>
        <w:rFonts w:ascii="Arial" w:hAnsi="Arial" w:hint="default"/>
      </w:rPr>
    </w:lvl>
    <w:lvl w:ilvl="5" w:tplc="91BC652E" w:tentative="1">
      <w:start w:val="1"/>
      <w:numFmt w:val="bullet"/>
      <w:lvlText w:val="•"/>
      <w:lvlJc w:val="left"/>
      <w:pPr>
        <w:tabs>
          <w:tab w:val="num" w:pos="4320"/>
        </w:tabs>
        <w:ind w:left="4320" w:hanging="360"/>
      </w:pPr>
      <w:rPr>
        <w:rFonts w:ascii="Arial" w:hAnsi="Arial" w:hint="default"/>
      </w:rPr>
    </w:lvl>
    <w:lvl w:ilvl="6" w:tplc="0DF02EEA" w:tentative="1">
      <w:start w:val="1"/>
      <w:numFmt w:val="bullet"/>
      <w:lvlText w:val="•"/>
      <w:lvlJc w:val="left"/>
      <w:pPr>
        <w:tabs>
          <w:tab w:val="num" w:pos="5040"/>
        </w:tabs>
        <w:ind w:left="5040" w:hanging="360"/>
      </w:pPr>
      <w:rPr>
        <w:rFonts w:ascii="Arial" w:hAnsi="Arial" w:hint="default"/>
      </w:rPr>
    </w:lvl>
    <w:lvl w:ilvl="7" w:tplc="4C1A02FC" w:tentative="1">
      <w:start w:val="1"/>
      <w:numFmt w:val="bullet"/>
      <w:lvlText w:val="•"/>
      <w:lvlJc w:val="left"/>
      <w:pPr>
        <w:tabs>
          <w:tab w:val="num" w:pos="5760"/>
        </w:tabs>
        <w:ind w:left="5760" w:hanging="360"/>
      </w:pPr>
      <w:rPr>
        <w:rFonts w:ascii="Arial" w:hAnsi="Arial" w:hint="default"/>
      </w:rPr>
    </w:lvl>
    <w:lvl w:ilvl="8" w:tplc="0088B7E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F1D1EB1"/>
    <w:multiLevelType w:val="hybridMultilevel"/>
    <w:tmpl w:val="37B45282"/>
    <w:lvl w:ilvl="0" w:tplc="9D065996">
      <w:start w:val="1"/>
      <w:numFmt w:val="bullet"/>
      <w:lvlText w:val="•"/>
      <w:lvlJc w:val="left"/>
      <w:pPr>
        <w:tabs>
          <w:tab w:val="num" w:pos="720"/>
        </w:tabs>
        <w:ind w:left="720" w:hanging="360"/>
      </w:pPr>
      <w:rPr>
        <w:rFonts w:ascii="Arial" w:hAnsi="Arial" w:hint="default"/>
      </w:rPr>
    </w:lvl>
    <w:lvl w:ilvl="1" w:tplc="3CB44518" w:tentative="1">
      <w:start w:val="1"/>
      <w:numFmt w:val="bullet"/>
      <w:lvlText w:val="•"/>
      <w:lvlJc w:val="left"/>
      <w:pPr>
        <w:tabs>
          <w:tab w:val="num" w:pos="1440"/>
        </w:tabs>
        <w:ind w:left="1440" w:hanging="360"/>
      </w:pPr>
      <w:rPr>
        <w:rFonts w:ascii="Arial" w:hAnsi="Arial" w:hint="default"/>
      </w:rPr>
    </w:lvl>
    <w:lvl w:ilvl="2" w:tplc="2F4E4DAA" w:tentative="1">
      <w:start w:val="1"/>
      <w:numFmt w:val="bullet"/>
      <w:lvlText w:val="•"/>
      <w:lvlJc w:val="left"/>
      <w:pPr>
        <w:tabs>
          <w:tab w:val="num" w:pos="2160"/>
        </w:tabs>
        <w:ind w:left="2160" w:hanging="360"/>
      </w:pPr>
      <w:rPr>
        <w:rFonts w:ascii="Arial" w:hAnsi="Arial" w:hint="default"/>
      </w:rPr>
    </w:lvl>
    <w:lvl w:ilvl="3" w:tplc="CABE85BC" w:tentative="1">
      <w:start w:val="1"/>
      <w:numFmt w:val="bullet"/>
      <w:lvlText w:val="•"/>
      <w:lvlJc w:val="left"/>
      <w:pPr>
        <w:tabs>
          <w:tab w:val="num" w:pos="2880"/>
        </w:tabs>
        <w:ind w:left="2880" w:hanging="360"/>
      </w:pPr>
      <w:rPr>
        <w:rFonts w:ascii="Arial" w:hAnsi="Arial" w:hint="default"/>
      </w:rPr>
    </w:lvl>
    <w:lvl w:ilvl="4" w:tplc="07A0FF44" w:tentative="1">
      <w:start w:val="1"/>
      <w:numFmt w:val="bullet"/>
      <w:lvlText w:val="•"/>
      <w:lvlJc w:val="left"/>
      <w:pPr>
        <w:tabs>
          <w:tab w:val="num" w:pos="3600"/>
        </w:tabs>
        <w:ind w:left="3600" w:hanging="360"/>
      </w:pPr>
      <w:rPr>
        <w:rFonts w:ascii="Arial" w:hAnsi="Arial" w:hint="default"/>
      </w:rPr>
    </w:lvl>
    <w:lvl w:ilvl="5" w:tplc="86980A40" w:tentative="1">
      <w:start w:val="1"/>
      <w:numFmt w:val="bullet"/>
      <w:lvlText w:val="•"/>
      <w:lvlJc w:val="left"/>
      <w:pPr>
        <w:tabs>
          <w:tab w:val="num" w:pos="4320"/>
        </w:tabs>
        <w:ind w:left="4320" w:hanging="360"/>
      </w:pPr>
      <w:rPr>
        <w:rFonts w:ascii="Arial" w:hAnsi="Arial" w:hint="default"/>
      </w:rPr>
    </w:lvl>
    <w:lvl w:ilvl="6" w:tplc="8E60830A" w:tentative="1">
      <w:start w:val="1"/>
      <w:numFmt w:val="bullet"/>
      <w:lvlText w:val="•"/>
      <w:lvlJc w:val="left"/>
      <w:pPr>
        <w:tabs>
          <w:tab w:val="num" w:pos="5040"/>
        </w:tabs>
        <w:ind w:left="5040" w:hanging="360"/>
      </w:pPr>
      <w:rPr>
        <w:rFonts w:ascii="Arial" w:hAnsi="Arial" w:hint="default"/>
      </w:rPr>
    </w:lvl>
    <w:lvl w:ilvl="7" w:tplc="A670B70E" w:tentative="1">
      <w:start w:val="1"/>
      <w:numFmt w:val="bullet"/>
      <w:lvlText w:val="•"/>
      <w:lvlJc w:val="left"/>
      <w:pPr>
        <w:tabs>
          <w:tab w:val="num" w:pos="5760"/>
        </w:tabs>
        <w:ind w:left="5760" w:hanging="360"/>
      </w:pPr>
      <w:rPr>
        <w:rFonts w:ascii="Arial" w:hAnsi="Arial" w:hint="default"/>
      </w:rPr>
    </w:lvl>
    <w:lvl w:ilvl="8" w:tplc="3AE48CF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7404F3D"/>
    <w:multiLevelType w:val="multilevel"/>
    <w:tmpl w:val="37DC7E4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15:restartNumberingAfterBreak="0">
    <w:nsid w:val="690B22CD"/>
    <w:multiLevelType w:val="multilevel"/>
    <w:tmpl w:val="802C910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0" w15:restartNumberingAfterBreak="0">
    <w:nsid w:val="703C6FB7"/>
    <w:multiLevelType w:val="multilevel"/>
    <w:tmpl w:val="00A290E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15:restartNumberingAfterBreak="0">
    <w:nsid w:val="71632712"/>
    <w:multiLevelType w:val="multilevel"/>
    <w:tmpl w:val="19BC936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15:restartNumberingAfterBreak="0">
    <w:nsid w:val="76C41E79"/>
    <w:multiLevelType w:val="hybridMultilevel"/>
    <w:tmpl w:val="71C056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AA71924"/>
    <w:multiLevelType w:val="multilevel"/>
    <w:tmpl w:val="55B6B1A4"/>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num w:numId="1">
    <w:abstractNumId w:val="0"/>
  </w:num>
  <w:num w:numId="2">
    <w:abstractNumId w:val="15"/>
  </w:num>
  <w:num w:numId="3">
    <w:abstractNumId w:val="18"/>
  </w:num>
  <w:num w:numId="4">
    <w:abstractNumId w:val="1"/>
  </w:num>
  <w:num w:numId="5">
    <w:abstractNumId w:val="19"/>
  </w:num>
  <w:num w:numId="6">
    <w:abstractNumId w:val="20"/>
  </w:num>
  <w:num w:numId="7">
    <w:abstractNumId w:val="9"/>
  </w:num>
  <w:num w:numId="8">
    <w:abstractNumId w:val="5"/>
  </w:num>
  <w:num w:numId="9">
    <w:abstractNumId w:val="23"/>
  </w:num>
  <w:num w:numId="10">
    <w:abstractNumId w:val="7"/>
  </w:num>
  <w:num w:numId="11">
    <w:abstractNumId w:val="21"/>
  </w:num>
  <w:num w:numId="12">
    <w:abstractNumId w:val="13"/>
  </w:num>
  <w:num w:numId="13">
    <w:abstractNumId w:val="22"/>
  </w:num>
  <w:num w:numId="14">
    <w:abstractNumId w:val="14"/>
  </w:num>
  <w:num w:numId="15">
    <w:abstractNumId w:val="8"/>
  </w:num>
  <w:num w:numId="16">
    <w:abstractNumId w:val="2"/>
  </w:num>
  <w:num w:numId="17">
    <w:abstractNumId w:val="17"/>
  </w:num>
  <w:num w:numId="18">
    <w:abstractNumId w:val="16"/>
  </w:num>
  <w:num w:numId="19">
    <w:abstractNumId w:val="12"/>
  </w:num>
  <w:num w:numId="20">
    <w:abstractNumId w:val="6"/>
  </w:num>
  <w:num w:numId="21">
    <w:abstractNumId w:val="4"/>
  </w:num>
  <w:num w:numId="22">
    <w:abstractNumId w:val="11"/>
  </w:num>
  <w:num w:numId="23">
    <w:abstractNumId w:val="10"/>
  </w:num>
  <w:num w:numId="24">
    <w:abstractNumId w:val="10"/>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8"/>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2FA8"/>
    <w:rsid w:val="00002570"/>
    <w:rsid w:val="00005D93"/>
    <w:rsid w:val="000061F4"/>
    <w:rsid w:val="00010735"/>
    <w:rsid w:val="000123AC"/>
    <w:rsid w:val="00015ED6"/>
    <w:rsid w:val="00020B3D"/>
    <w:rsid w:val="000216B9"/>
    <w:rsid w:val="0002225B"/>
    <w:rsid w:val="00023552"/>
    <w:rsid w:val="00025625"/>
    <w:rsid w:val="00026614"/>
    <w:rsid w:val="000268FE"/>
    <w:rsid w:val="0003238D"/>
    <w:rsid w:val="0003616D"/>
    <w:rsid w:val="00036695"/>
    <w:rsid w:val="000376FA"/>
    <w:rsid w:val="00042CC0"/>
    <w:rsid w:val="00050372"/>
    <w:rsid w:val="00050C0B"/>
    <w:rsid w:val="00050DC0"/>
    <w:rsid w:val="00053115"/>
    <w:rsid w:val="0005648D"/>
    <w:rsid w:val="00057462"/>
    <w:rsid w:val="00060B6A"/>
    <w:rsid w:val="000621AF"/>
    <w:rsid w:val="00066C95"/>
    <w:rsid w:val="00070AC6"/>
    <w:rsid w:val="00072D50"/>
    <w:rsid w:val="00075A77"/>
    <w:rsid w:val="000808D4"/>
    <w:rsid w:val="000815D0"/>
    <w:rsid w:val="00093B35"/>
    <w:rsid w:val="00094063"/>
    <w:rsid w:val="0009467D"/>
    <w:rsid w:val="00094DD7"/>
    <w:rsid w:val="00094E20"/>
    <w:rsid w:val="000A46BC"/>
    <w:rsid w:val="000B13BC"/>
    <w:rsid w:val="000B1AC6"/>
    <w:rsid w:val="000B2C57"/>
    <w:rsid w:val="000B4966"/>
    <w:rsid w:val="000D058F"/>
    <w:rsid w:val="000D1F20"/>
    <w:rsid w:val="000E05FB"/>
    <w:rsid w:val="000E7C45"/>
    <w:rsid w:val="000F30A1"/>
    <w:rsid w:val="001226F2"/>
    <w:rsid w:val="0012583F"/>
    <w:rsid w:val="00126BC6"/>
    <w:rsid w:val="001337EB"/>
    <w:rsid w:val="0013730F"/>
    <w:rsid w:val="00150E62"/>
    <w:rsid w:val="00153DF8"/>
    <w:rsid w:val="00157755"/>
    <w:rsid w:val="0016251D"/>
    <w:rsid w:val="00165A46"/>
    <w:rsid w:val="00166199"/>
    <w:rsid w:val="001666E5"/>
    <w:rsid w:val="00167B25"/>
    <w:rsid w:val="001724B7"/>
    <w:rsid w:val="00174399"/>
    <w:rsid w:val="00175C27"/>
    <w:rsid w:val="00182DA2"/>
    <w:rsid w:val="00185781"/>
    <w:rsid w:val="0018587F"/>
    <w:rsid w:val="00190E16"/>
    <w:rsid w:val="0019669B"/>
    <w:rsid w:val="001A099D"/>
    <w:rsid w:val="001A2686"/>
    <w:rsid w:val="001A7CC1"/>
    <w:rsid w:val="001B1871"/>
    <w:rsid w:val="001B21DA"/>
    <w:rsid w:val="001B3EA1"/>
    <w:rsid w:val="001B4678"/>
    <w:rsid w:val="001C129E"/>
    <w:rsid w:val="001C1740"/>
    <w:rsid w:val="001C2709"/>
    <w:rsid w:val="001C36A5"/>
    <w:rsid w:val="001D396B"/>
    <w:rsid w:val="001D74C2"/>
    <w:rsid w:val="001D7986"/>
    <w:rsid w:val="001D7B83"/>
    <w:rsid w:val="001E39AF"/>
    <w:rsid w:val="001E5837"/>
    <w:rsid w:val="001E77E6"/>
    <w:rsid w:val="001F0C22"/>
    <w:rsid w:val="001F19DA"/>
    <w:rsid w:val="001F2E0B"/>
    <w:rsid w:val="001F51C3"/>
    <w:rsid w:val="001F5893"/>
    <w:rsid w:val="001F6828"/>
    <w:rsid w:val="00203BB2"/>
    <w:rsid w:val="00205C65"/>
    <w:rsid w:val="002133FF"/>
    <w:rsid w:val="00220472"/>
    <w:rsid w:val="00223542"/>
    <w:rsid w:val="002278CA"/>
    <w:rsid w:val="0023125E"/>
    <w:rsid w:val="0023298B"/>
    <w:rsid w:val="00233FEB"/>
    <w:rsid w:val="0023404F"/>
    <w:rsid w:val="00235A12"/>
    <w:rsid w:val="00237A0D"/>
    <w:rsid w:val="002425BF"/>
    <w:rsid w:val="00243714"/>
    <w:rsid w:val="00244C0B"/>
    <w:rsid w:val="00245521"/>
    <w:rsid w:val="0025143A"/>
    <w:rsid w:val="00252207"/>
    <w:rsid w:val="002558FE"/>
    <w:rsid w:val="00260CDE"/>
    <w:rsid w:val="00263C5C"/>
    <w:rsid w:val="0026671C"/>
    <w:rsid w:val="00266A28"/>
    <w:rsid w:val="00266F2E"/>
    <w:rsid w:val="00271D9B"/>
    <w:rsid w:val="00275967"/>
    <w:rsid w:val="002808E1"/>
    <w:rsid w:val="00284214"/>
    <w:rsid w:val="00284893"/>
    <w:rsid w:val="00285397"/>
    <w:rsid w:val="0028746D"/>
    <w:rsid w:val="00293AEF"/>
    <w:rsid w:val="002954A0"/>
    <w:rsid w:val="00297527"/>
    <w:rsid w:val="002C04CD"/>
    <w:rsid w:val="002C169D"/>
    <w:rsid w:val="002C4574"/>
    <w:rsid w:val="002C5407"/>
    <w:rsid w:val="002C5A17"/>
    <w:rsid w:val="002D3EA1"/>
    <w:rsid w:val="002E6985"/>
    <w:rsid w:val="002E7682"/>
    <w:rsid w:val="002F2FFC"/>
    <w:rsid w:val="002F4211"/>
    <w:rsid w:val="002F603B"/>
    <w:rsid w:val="002F6AC4"/>
    <w:rsid w:val="002F6F92"/>
    <w:rsid w:val="00306345"/>
    <w:rsid w:val="00306F63"/>
    <w:rsid w:val="0030707D"/>
    <w:rsid w:val="00315CB4"/>
    <w:rsid w:val="00320DE1"/>
    <w:rsid w:val="0032135B"/>
    <w:rsid w:val="003235F1"/>
    <w:rsid w:val="00326622"/>
    <w:rsid w:val="00327EE9"/>
    <w:rsid w:val="00330CD0"/>
    <w:rsid w:val="00336475"/>
    <w:rsid w:val="00343409"/>
    <w:rsid w:val="0034749A"/>
    <w:rsid w:val="00347AA8"/>
    <w:rsid w:val="003668D7"/>
    <w:rsid w:val="00366C52"/>
    <w:rsid w:val="0036799B"/>
    <w:rsid w:val="003718D0"/>
    <w:rsid w:val="00376679"/>
    <w:rsid w:val="0037686E"/>
    <w:rsid w:val="00380E48"/>
    <w:rsid w:val="00385792"/>
    <w:rsid w:val="00386A95"/>
    <w:rsid w:val="0038784E"/>
    <w:rsid w:val="00392C0E"/>
    <w:rsid w:val="0039390C"/>
    <w:rsid w:val="003A37B0"/>
    <w:rsid w:val="003A6A12"/>
    <w:rsid w:val="003A7318"/>
    <w:rsid w:val="003B1681"/>
    <w:rsid w:val="003B1B9B"/>
    <w:rsid w:val="003C22ED"/>
    <w:rsid w:val="003D10A8"/>
    <w:rsid w:val="003D1A5B"/>
    <w:rsid w:val="003D510F"/>
    <w:rsid w:val="003D5B74"/>
    <w:rsid w:val="003E20A7"/>
    <w:rsid w:val="003E41DC"/>
    <w:rsid w:val="003E4245"/>
    <w:rsid w:val="003E539A"/>
    <w:rsid w:val="003E5C53"/>
    <w:rsid w:val="003F0055"/>
    <w:rsid w:val="003F1165"/>
    <w:rsid w:val="003F4DA2"/>
    <w:rsid w:val="0040266A"/>
    <w:rsid w:val="00404D86"/>
    <w:rsid w:val="004065FE"/>
    <w:rsid w:val="004133C5"/>
    <w:rsid w:val="0042392B"/>
    <w:rsid w:val="00425CFA"/>
    <w:rsid w:val="004270CE"/>
    <w:rsid w:val="00430A13"/>
    <w:rsid w:val="00431240"/>
    <w:rsid w:val="00432860"/>
    <w:rsid w:val="00443262"/>
    <w:rsid w:val="0044454F"/>
    <w:rsid w:val="0045186B"/>
    <w:rsid w:val="00455CF2"/>
    <w:rsid w:val="00457306"/>
    <w:rsid w:val="00457F3C"/>
    <w:rsid w:val="00460B75"/>
    <w:rsid w:val="00463548"/>
    <w:rsid w:val="00474CA8"/>
    <w:rsid w:val="00480340"/>
    <w:rsid w:val="00481ACC"/>
    <w:rsid w:val="004852DC"/>
    <w:rsid w:val="0048628D"/>
    <w:rsid w:val="004918F5"/>
    <w:rsid w:val="0049627A"/>
    <w:rsid w:val="004A0F87"/>
    <w:rsid w:val="004A4CDB"/>
    <w:rsid w:val="004A754F"/>
    <w:rsid w:val="004A7853"/>
    <w:rsid w:val="004B077A"/>
    <w:rsid w:val="004B089A"/>
    <w:rsid w:val="004C00A4"/>
    <w:rsid w:val="004C760F"/>
    <w:rsid w:val="004D30CB"/>
    <w:rsid w:val="004D5DE5"/>
    <w:rsid w:val="004E69D2"/>
    <w:rsid w:val="004F6856"/>
    <w:rsid w:val="004F783E"/>
    <w:rsid w:val="00500A5D"/>
    <w:rsid w:val="00502559"/>
    <w:rsid w:val="00507DBB"/>
    <w:rsid w:val="005132B2"/>
    <w:rsid w:val="00523995"/>
    <w:rsid w:val="00527561"/>
    <w:rsid w:val="00532539"/>
    <w:rsid w:val="005336C5"/>
    <w:rsid w:val="00533ABA"/>
    <w:rsid w:val="00534845"/>
    <w:rsid w:val="0054091E"/>
    <w:rsid w:val="00547490"/>
    <w:rsid w:val="0055270B"/>
    <w:rsid w:val="0055306B"/>
    <w:rsid w:val="00553CF1"/>
    <w:rsid w:val="005561E9"/>
    <w:rsid w:val="005664DA"/>
    <w:rsid w:val="0056668E"/>
    <w:rsid w:val="00571305"/>
    <w:rsid w:val="00572F2E"/>
    <w:rsid w:val="0057324B"/>
    <w:rsid w:val="005765EC"/>
    <w:rsid w:val="00576A68"/>
    <w:rsid w:val="005832B8"/>
    <w:rsid w:val="00584A99"/>
    <w:rsid w:val="00585326"/>
    <w:rsid w:val="005A0ECE"/>
    <w:rsid w:val="005A1AF9"/>
    <w:rsid w:val="005A31BA"/>
    <w:rsid w:val="005B2D75"/>
    <w:rsid w:val="005B53E5"/>
    <w:rsid w:val="005C3A13"/>
    <w:rsid w:val="005C5F16"/>
    <w:rsid w:val="005D1BD5"/>
    <w:rsid w:val="005D2BE3"/>
    <w:rsid w:val="005E16D0"/>
    <w:rsid w:val="005F1F0C"/>
    <w:rsid w:val="005F35D8"/>
    <w:rsid w:val="006021AE"/>
    <w:rsid w:val="00610A4F"/>
    <w:rsid w:val="00610DA0"/>
    <w:rsid w:val="00610F8F"/>
    <w:rsid w:val="00611DEC"/>
    <w:rsid w:val="00614735"/>
    <w:rsid w:val="00614C9D"/>
    <w:rsid w:val="00615665"/>
    <w:rsid w:val="00616848"/>
    <w:rsid w:val="0061759E"/>
    <w:rsid w:val="00621E9A"/>
    <w:rsid w:val="00622A1A"/>
    <w:rsid w:val="00624275"/>
    <w:rsid w:val="006333FB"/>
    <w:rsid w:val="00635563"/>
    <w:rsid w:val="00635D5E"/>
    <w:rsid w:val="00644A49"/>
    <w:rsid w:val="006467D2"/>
    <w:rsid w:val="00646CFF"/>
    <w:rsid w:val="006477DF"/>
    <w:rsid w:val="00651A49"/>
    <w:rsid w:val="00654562"/>
    <w:rsid w:val="006571C7"/>
    <w:rsid w:val="00657E07"/>
    <w:rsid w:val="0067286B"/>
    <w:rsid w:val="00681FB8"/>
    <w:rsid w:val="00684EE0"/>
    <w:rsid w:val="00687F3E"/>
    <w:rsid w:val="006916D4"/>
    <w:rsid w:val="00691A02"/>
    <w:rsid w:val="0069312C"/>
    <w:rsid w:val="00694AA6"/>
    <w:rsid w:val="00695DAD"/>
    <w:rsid w:val="006A54EA"/>
    <w:rsid w:val="006B03CA"/>
    <w:rsid w:val="006B04BF"/>
    <w:rsid w:val="006B06BB"/>
    <w:rsid w:val="006B259C"/>
    <w:rsid w:val="006B588B"/>
    <w:rsid w:val="006B7B26"/>
    <w:rsid w:val="006C00EC"/>
    <w:rsid w:val="006C40A8"/>
    <w:rsid w:val="006C538E"/>
    <w:rsid w:val="006C6E6D"/>
    <w:rsid w:val="006E281A"/>
    <w:rsid w:val="006E4BEF"/>
    <w:rsid w:val="006E66CF"/>
    <w:rsid w:val="006F0096"/>
    <w:rsid w:val="006F369F"/>
    <w:rsid w:val="00705CEE"/>
    <w:rsid w:val="007203C0"/>
    <w:rsid w:val="0072056E"/>
    <w:rsid w:val="0073142D"/>
    <w:rsid w:val="0073275E"/>
    <w:rsid w:val="007342FC"/>
    <w:rsid w:val="00736BD9"/>
    <w:rsid w:val="0073710D"/>
    <w:rsid w:val="00740065"/>
    <w:rsid w:val="00741375"/>
    <w:rsid w:val="00742784"/>
    <w:rsid w:val="00742A5F"/>
    <w:rsid w:val="00742FA8"/>
    <w:rsid w:val="00743684"/>
    <w:rsid w:val="00744E5D"/>
    <w:rsid w:val="007506BA"/>
    <w:rsid w:val="00751B03"/>
    <w:rsid w:val="00751DFE"/>
    <w:rsid w:val="00753F71"/>
    <w:rsid w:val="007573D3"/>
    <w:rsid w:val="00763969"/>
    <w:rsid w:val="0076396A"/>
    <w:rsid w:val="0077565A"/>
    <w:rsid w:val="00781427"/>
    <w:rsid w:val="007849FF"/>
    <w:rsid w:val="00784DF7"/>
    <w:rsid w:val="00790768"/>
    <w:rsid w:val="00793FA8"/>
    <w:rsid w:val="00793FE6"/>
    <w:rsid w:val="007956DE"/>
    <w:rsid w:val="00796213"/>
    <w:rsid w:val="007A3826"/>
    <w:rsid w:val="007A57E1"/>
    <w:rsid w:val="007B31FA"/>
    <w:rsid w:val="007C177A"/>
    <w:rsid w:val="007C1B53"/>
    <w:rsid w:val="007C3C21"/>
    <w:rsid w:val="007C5D37"/>
    <w:rsid w:val="007C6EBB"/>
    <w:rsid w:val="007D2AA1"/>
    <w:rsid w:val="007E07E0"/>
    <w:rsid w:val="007E55A5"/>
    <w:rsid w:val="00801F70"/>
    <w:rsid w:val="00805B6E"/>
    <w:rsid w:val="0080713F"/>
    <w:rsid w:val="00823966"/>
    <w:rsid w:val="00824BE9"/>
    <w:rsid w:val="00825B39"/>
    <w:rsid w:val="008275A0"/>
    <w:rsid w:val="00832A11"/>
    <w:rsid w:val="00833243"/>
    <w:rsid w:val="0084323F"/>
    <w:rsid w:val="0084433F"/>
    <w:rsid w:val="008451D9"/>
    <w:rsid w:val="00846F10"/>
    <w:rsid w:val="00847A1F"/>
    <w:rsid w:val="0085581E"/>
    <w:rsid w:val="00864BEA"/>
    <w:rsid w:val="00865D64"/>
    <w:rsid w:val="008700D4"/>
    <w:rsid w:val="0087450A"/>
    <w:rsid w:val="0087734D"/>
    <w:rsid w:val="00887126"/>
    <w:rsid w:val="008907E2"/>
    <w:rsid w:val="00891B2A"/>
    <w:rsid w:val="00891B90"/>
    <w:rsid w:val="00893605"/>
    <w:rsid w:val="00895EA0"/>
    <w:rsid w:val="008A7980"/>
    <w:rsid w:val="008B1AA4"/>
    <w:rsid w:val="008B2051"/>
    <w:rsid w:val="008B4894"/>
    <w:rsid w:val="008B48F3"/>
    <w:rsid w:val="008B6038"/>
    <w:rsid w:val="008C3561"/>
    <w:rsid w:val="008C66D6"/>
    <w:rsid w:val="008D13F4"/>
    <w:rsid w:val="008D14BD"/>
    <w:rsid w:val="008D32A4"/>
    <w:rsid w:val="008D373A"/>
    <w:rsid w:val="008D6011"/>
    <w:rsid w:val="008E1BA9"/>
    <w:rsid w:val="008E1EAF"/>
    <w:rsid w:val="008E44D7"/>
    <w:rsid w:val="008E4A84"/>
    <w:rsid w:val="008F1A40"/>
    <w:rsid w:val="008F31AB"/>
    <w:rsid w:val="008F431B"/>
    <w:rsid w:val="008F4B42"/>
    <w:rsid w:val="00903FF2"/>
    <w:rsid w:val="00904453"/>
    <w:rsid w:val="00910E67"/>
    <w:rsid w:val="009161B0"/>
    <w:rsid w:val="009209F5"/>
    <w:rsid w:val="00922C64"/>
    <w:rsid w:val="009327A4"/>
    <w:rsid w:val="0093332A"/>
    <w:rsid w:val="009356DD"/>
    <w:rsid w:val="009370E9"/>
    <w:rsid w:val="0094498A"/>
    <w:rsid w:val="00946FD0"/>
    <w:rsid w:val="00947E0F"/>
    <w:rsid w:val="00950C67"/>
    <w:rsid w:val="009514A9"/>
    <w:rsid w:val="0095635A"/>
    <w:rsid w:val="009647E3"/>
    <w:rsid w:val="0096522A"/>
    <w:rsid w:val="00972220"/>
    <w:rsid w:val="00974E3A"/>
    <w:rsid w:val="00987A18"/>
    <w:rsid w:val="00987AF9"/>
    <w:rsid w:val="009922F9"/>
    <w:rsid w:val="00996CE6"/>
    <w:rsid w:val="009A13F4"/>
    <w:rsid w:val="009B1D93"/>
    <w:rsid w:val="009B2ED1"/>
    <w:rsid w:val="009C0232"/>
    <w:rsid w:val="009D4CD8"/>
    <w:rsid w:val="009D5149"/>
    <w:rsid w:val="009D55F3"/>
    <w:rsid w:val="009E455B"/>
    <w:rsid w:val="009E62A7"/>
    <w:rsid w:val="009F29EB"/>
    <w:rsid w:val="009F2CBF"/>
    <w:rsid w:val="00A001A5"/>
    <w:rsid w:val="00A005D2"/>
    <w:rsid w:val="00A02A98"/>
    <w:rsid w:val="00A04184"/>
    <w:rsid w:val="00A15EA1"/>
    <w:rsid w:val="00A204B7"/>
    <w:rsid w:val="00A3164E"/>
    <w:rsid w:val="00A3575D"/>
    <w:rsid w:val="00A440DF"/>
    <w:rsid w:val="00A54FF7"/>
    <w:rsid w:val="00A61325"/>
    <w:rsid w:val="00A62D85"/>
    <w:rsid w:val="00A644B9"/>
    <w:rsid w:val="00A659D5"/>
    <w:rsid w:val="00A7176F"/>
    <w:rsid w:val="00A71C05"/>
    <w:rsid w:val="00A7234E"/>
    <w:rsid w:val="00A769AB"/>
    <w:rsid w:val="00A76ACD"/>
    <w:rsid w:val="00A76CF5"/>
    <w:rsid w:val="00A81C48"/>
    <w:rsid w:val="00A85D63"/>
    <w:rsid w:val="00A85EA4"/>
    <w:rsid w:val="00A866C2"/>
    <w:rsid w:val="00A926C1"/>
    <w:rsid w:val="00A93834"/>
    <w:rsid w:val="00A96B9A"/>
    <w:rsid w:val="00AA143B"/>
    <w:rsid w:val="00AA2D3F"/>
    <w:rsid w:val="00AA33A8"/>
    <w:rsid w:val="00AA4027"/>
    <w:rsid w:val="00AA4889"/>
    <w:rsid w:val="00AA4A46"/>
    <w:rsid w:val="00AC087F"/>
    <w:rsid w:val="00AC13C1"/>
    <w:rsid w:val="00AC62C7"/>
    <w:rsid w:val="00AD13EC"/>
    <w:rsid w:val="00AE0AA9"/>
    <w:rsid w:val="00AE1D65"/>
    <w:rsid w:val="00AF063B"/>
    <w:rsid w:val="00AF331A"/>
    <w:rsid w:val="00AF682E"/>
    <w:rsid w:val="00B04401"/>
    <w:rsid w:val="00B0443B"/>
    <w:rsid w:val="00B04B82"/>
    <w:rsid w:val="00B301CD"/>
    <w:rsid w:val="00B33D6D"/>
    <w:rsid w:val="00B41519"/>
    <w:rsid w:val="00B433AE"/>
    <w:rsid w:val="00B44CAF"/>
    <w:rsid w:val="00B4576D"/>
    <w:rsid w:val="00B52CEF"/>
    <w:rsid w:val="00B544D0"/>
    <w:rsid w:val="00B544D3"/>
    <w:rsid w:val="00B548BE"/>
    <w:rsid w:val="00B70FED"/>
    <w:rsid w:val="00B742F6"/>
    <w:rsid w:val="00B76BFA"/>
    <w:rsid w:val="00B773E5"/>
    <w:rsid w:val="00B77A84"/>
    <w:rsid w:val="00B806C6"/>
    <w:rsid w:val="00B827CC"/>
    <w:rsid w:val="00B91DC3"/>
    <w:rsid w:val="00B97FE7"/>
    <w:rsid w:val="00BB1346"/>
    <w:rsid w:val="00BB1B55"/>
    <w:rsid w:val="00BB7C37"/>
    <w:rsid w:val="00BC055A"/>
    <w:rsid w:val="00BC21A3"/>
    <w:rsid w:val="00BC28C0"/>
    <w:rsid w:val="00BD2200"/>
    <w:rsid w:val="00BD2383"/>
    <w:rsid w:val="00BD4ECD"/>
    <w:rsid w:val="00BD5078"/>
    <w:rsid w:val="00BD5F02"/>
    <w:rsid w:val="00BD6AEE"/>
    <w:rsid w:val="00BE0410"/>
    <w:rsid w:val="00BE3719"/>
    <w:rsid w:val="00BE384B"/>
    <w:rsid w:val="00BE5E39"/>
    <w:rsid w:val="00BF1635"/>
    <w:rsid w:val="00BF434D"/>
    <w:rsid w:val="00BF4874"/>
    <w:rsid w:val="00BF49A8"/>
    <w:rsid w:val="00BF5353"/>
    <w:rsid w:val="00BF5438"/>
    <w:rsid w:val="00C03993"/>
    <w:rsid w:val="00C0426E"/>
    <w:rsid w:val="00C04683"/>
    <w:rsid w:val="00C04BCA"/>
    <w:rsid w:val="00C0593D"/>
    <w:rsid w:val="00C10F5B"/>
    <w:rsid w:val="00C2174D"/>
    <w:rsid w:val="00C2302B"/>
    <w:rsid w:val="00C25566"/>
    <w:rsid w:val="00C27954"/>
    <w:rsid w:val="00C34662"/>
    <w:rsid w:val="00C357CE"/>
    <w:rsid w:val="00C37C27"/>
    <w:rsid w:val="00C44026"/>
    <w:rsid w:val="00C50828"/>
    <w:rsid w:val="00C52FED"/>
    <w:rsid w:val="00C53939"/>
    <w:rsid w:val="00C60325"/>
    <w:rsid w:val="00C60398"/>
    <w:rsid w:val="00C6170E"/>
    <w:rsid w:val="00C62CA8"/>
    <w:rsid w:val="00C64401"/>
    <w:rsid w:val="00C646A8"/>
    <w:rsid w:val="00C64C2B"/>
    <w:rsid w:val="00C66D35"/>
    <w:rsid w:val="00C67391"/>
    <w:rsid w:val="00C70AE1"/>
    <w:rsid w:val="00C75329"/>
    <w:rsid w:val="00C76D6F"/>
    <w:rsid w:val="00C80552"/>
    <w:rsid w:val="00C93C47"/>
    <w:rsid w:val="00C97B2E"/>
    <w:rsid w:val="00CA20E5"/>
    <w:rsid w:val="00CA250E"/>
    <w:rsid w:val="00CA29DC"/>
    <w:rsid w:val="00CA5C81"/>
    <w:rsid w:val="00CB0B09"/>
    <w:rsid w:val="00CB620A"/>
    <w:rsid w:val="00CB7D9F"/>
    <w:rsid w:val="00CD2730"/>
    <w:rsid w:val="00CD37C2"/>
    <w:rsid w:val="00CD4101"/>
    <w:rsid w:val="00CD44DC"/>
    <w:rsid w:val="00CD4D93"/>
    <w:rsid w:val="00CD63C3"/>
    <w:rsid w:val="00CE1181"/>
    <w:rsid w:val="00CE786C"/>
    <w:rsid w:val="00CF0FB1"/>
    <w:rsid w:val="00CF7D18"/>
    <w:rsid w:val="00D01391"/>
    <w:rsid w:val="00D070F3"/>
    <w:rsid w:val="00D1550C"/>
    <w:rsid w:val="00D15EB6"/>
    <w:rsid w:val="00D245F5"/>
    <w:rsid w:val="00D27E8E"/>
    <w:rsid w:val="00D32FAD"/>
    <w:rsid w:val="00D343EE"/>
    <w:rsid w:val="00D40566"/>
    <w:rsid w:val="00D45354"/>
    <w:rsid w:val="00D479BB"/>
    <w:rsid w:val="00D52151"/>
    <w:rsid w:val="00D54CC5"/>
    <w:rsid w:val="00D62F92"/>
    <w:rsid w:val="00D63E6F"/>
    <w:rsid w:val="00D71171"/>
    <w:rsid w:val="00D80847"/>
    <w:rsid w:val="00D81750"/>
    <w:rsid w:val="00D8176E"/>
    <w:rsid w:val="00D8426A"/>
    <w:rsid w:val="00D85030"/>
    <w:rsid w:val="00DA4C15"/>
    <w:rsid w:val="00DB0345"/>
    <w:rsid w:val="00DB53A4"/>
    <w:rsid w:val="00DC53A8"/>
    <w:rsid w:val="00DC6AB1"/>
    <w:rsid w:val="00DC6FF9"/>
    <w:rsid w:val="00DD3A01"/>
    <w:rsid w:val="00DD5C85"/>
    <w:rsid w:val="00DD72D2"/>
    <w:rsid w:val="00DD7A1D"/>
    <w:rsid w:val="00DE0840"/>
    <w:rsid w:val="00DE2999"/>
    <w:rsid w:val="00DE7EF1"/>
    <w:rsid w:val="00DF0EB2"/>
    <w:rsid w:val="00DF3CB7"/>
    <w:rsid w:val="00DF65AC"/>
    <w:rsid w:val="00E00664"/>
    <w:rsid w:val="00E11A7B"/>
    <w:rsid w:val="00E122BF"/>
    <w:rsid w:val="00E13C83"/>
    <w:rsid w:val="00E15D49"/>
    <w:rsid w:val="00E16CAA"/>
    <w:rsid w:val="00E171A9"/>
    <w:rsid w:val="00E20D69"/>
    <w:rsid w:val="00E21EC1"/>
    <w:rsid w:val="00E22006"/>
    <w:rsid w:val="00E2312A"/>
    <w:rsid w:val="00E26F32"/>
    <w:rsid w:val="00E30374"/>
    <w:rsid w:val="00E3270F"/>
    <w:rsid w:val="00E336A2"/>
    <w:rsid w:val="00E366B3"/>
    <w:rsid w:val="00E43741"/>
    <w:rsid w:val="00E466F6"/>
    <w:rsid w:val="00E509C1"/>
    <w:rsid w:val="00E50D5C"/>
    <w:rsid w:val="00E5418B"/>
    <w:rsid w:val="00E55EAC"/>
    <w:rsid w:val="00E57828"/>
    <w:rsid w:val="00E6355F"/>
    <w:rsid w:val="00E66C86"/>
    <w:rsid w:val="00E73A26"/>
    <w:rsid w:val="00E76D15"/>
    <w:rsid w:val="00E80692"/>
    <w:rsid w:val="00E850DA"/>
    <w:rsid w:val="00E8543D"/>
    <w:rsid w:val="00E86253"/>
    <w:rsid w:val="00E9571B"/>
    <w:rsid w:val="00EA173C"/>
    <w:rsid w:val="00EA2292"/>
    <w:rsid w:val="00EA4E58"/>
    <w:rsid w:val="00EA5C65"/>
    <w:rsid w:val="00EB05DA"/>
    <w:rsid w:val="00EB0627"/>
    <w:rsid w:val="00EB20D0"/>
    <w:rsid w:val="00EB337A"/>
    <w:rsid w:val="00EB5AD2"/>
    <w:rsid w:val="00EB6F4E"/>
    <w:rsid w:val="00EC14FD"/>
    <w:rsid w:val="00ED2D36"/>
    <w:rsid w:val="00ED4E93"/>
    <w:rsid w:val="00ED7A1C"/>
    <w:rsid w:val="00ED7F9A"/>
    <w:rsid w:val="00EE0E52"/>
    <w:rsid w:val="00EE47D2"/>
    <w:rsid w:val="00EE6727"/>
    <w:rsid w:val="00EE6A59"/>
    <w:rsid w:val="00EF1E9A"/>
    <w:rsid w:val="00EF2406"/>
    <w:rsid w:val="00EF2E00"/>
    <w:rsid w:val="00EF3117"/>
    <w:rsid w:val="00F015FA"/>
    <w:rsid w:val="00F10324"/>
    <w:rsid w:val="00F125FB"/>
    <w:rsid w:val="00F14D62"/>
    <w:rsid w:val="00F3098F"/>
    <w:rsid w:val="00F463C9"/>
    <w:rsid w:val="00F5326E"/>
    <w:rsid w:val="00F53D0F"/>
    <w:rsid w:val="00F600C5"/>
    <w:rsid w:val="00F607B5"/>
    <w:rsid w:val="00F6170E"/>
    <w:rsid w:val="00F7123D"/>
    <w:rsid w:val="00F7527F"/>
    <w:rsid w:val="00F86B3F"/>
    <w:rsid w:val="00F910D4"/>
    <w:rsid w:val="00F94599"/>
    <w:rsid w:val="00F97CD7"/>
    <w:rsid w:val="00FA0749"/>
    <w:rsid w:val="00FA3180"/>
    <w:rsid w:val="00FB3B0E"/>
    <w:rsid w:val="00FB4912"/>
    <w:rsid w:val="00FC0536"/>
    <w:rsid w:val="00FC29EC"/>
    <w:rsid w:val="00FD2C8A"/>
    <w:rsid w:val="00FE0DE0"/>
    <w:rsid w:val="00FE2FD8"/>
    <w:rsid w:val="00FE3ADC"/>
    <w:rsid w:val="00FE4306"/>
    <w:rsid w:val="00FE716A"/>
    <w:rsid w:val="00FF62A8"/>
    <w:rsid w:val="00FF6B53"/>
    <w:rsid w:val="00FF7D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107C0F"/>
  <w15:docId w15:val="{3052DFE2-43C9-4315-A612-6B8651DEB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2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5EB6"/>
    <w:pPr>
      <w:spacing w:after="180" w:line="276" w:lineRule="auto"/>
    </w:pPr>
    <w:rPr>
      <w:rFonts w:ascii="Arial" w:hAnsi="Arial"/>
      <w:sz w:val="24"/>
    </w:rPr>
  </w:style>
  <w:style w:type="paragraph" w:styleId="Heading1">
    <w:name w:val="heading 1"/>
    <w:basedOn w:val="Normal"/>
    <w:next w:val="Normal"/>
    <w:link w:val="Heading1Char"/>
    <w:autoRedefine/>
    <w:uiPriority w:val="9"/>
    <w:qFormat/>
    <w:rsid w:val="00A76CF5"/>
    <w:pPr>
      <w:keepNext/>
      <w:keepLines/>
      <w:numPr>
        <w:numId w:val="26"/>
      </w:numPr>
      <w:spacing w:after="240" w:line="240" w:lineRule="auto"/>
      <w:outlineLvl w:val="0"/>
    </w:pPr>
    <w:rPr>
      <w:rFonts w:ascii="Garamond" w:eastAsiaTheme="majorEastAsia" w:hAnsi="Garamond" w:cstheme="majorBidi"/>
      <w:b/>
      <w:bCs/>
      <w:i/>
      <w:color w:val="4F81BD" w:themeColor="accent1"/>
      <w:spacing w:val="20"/>
      <w:sz w:val="40"/>
      <w:szCs w:val="28"/>
      <w:u w:val="single"/>
    </w:rPr>
  </w:style>
  <w:style w:type="paragraph" w:styleId="Heading2">
    <w:name w:val="heading 2"/>
    <w:basedOn w:val="Normal"/>
    <w:next w:val="Normal"/>
    <w:link w:val="Heading2Char"/>
    <w:autoRedefine/>
    <w:uiPriority w:val="9"/>
    <w:unhideWhenUsed/>
    <w:qFormat/>
    <w:rsid w:val="00E122BF"/>
    <w:pPr>
      <w:keepNext/>
      <w:keepLines/>
      <w:numPr>
        <w:ilvl w:val="1"/>
        <w:numId w:val="26"/>
      </w:numPr>
      <w:spacing w:before="120" w:after="0" w:line="240" w:lineRule="auto"/>
      <w:outlineLvl w:val="1"/>
    </w:pPr>
    <w:rPr>
      <w:rFonts w:ascii="Garamond" w:eastAsiaTheme="majorEastAsia" w:hAnsi="Garamond" w:cstheme="majorBidi"/>
      <w:b/>
      <w:bCs/>
      <w:i/>
      <w:color w:val="4F81BD" w:themeColor="accent1"/>
      <w:sz w:val="32"/>
      <w:szCs w:val="26"/>
    </w:rPr>
  </w:style>
  <w:style w:type="paragraph" w:styleId="Heading3">
    <w:name w:val="heading 3"/>
    <w:basedOn w:val="Normal"/>
    <w:next w:val="Normal"/>
    <w:link w:val="Heading3Char"/>
    <w:uiPriority w:val="9"/>
    <w:unhideWhenUsed/>
    <w:qFormat/>
    <w:rsid w:val="00D15EB6"/>
    <w:pPr>
      <w:keepNext/>
      <w:keepLines/>
      <w:numPr>
        <w:ilvl w:val="2"/>
        <w:numId w:val="26"/>
      </w:numPr>
      <w:spacing w:before="20" w:after="0" w:line="240" w:lineRule="auto"/>
      <w:outlineLvl w:val="2"/>
    </w:pPr>
    <w:rPr>
      <w:rFonts w:ascii="Garamond" w:eastAsiaTheme="majorEastAsia" w:hAnsi="Garamond" w:cstheme="majorBidi"/>
      <w:b/>
      <w:bCs/>
      <w:i/>
      <w:color w:val="1F497D" w:themeColor="text2"/>
      <w:spacing w:val="14"/>
    </w:rPr>
  </w:style>
  <w:style w:type="paragraph" w:styleId="Heading4">
    <w:name w:val="heading 4"/>
    <w:basedOn w:val="Normal"/>
    <w:next w:val="Normal"/>
    <w:link w:val="Heading4Char"/>
    <w:uiPriority w:val="9"/>
    <w:unhideWhenUsed/>
    <w:qFormat/>
    <w:rsid w:val="00D15EB6"/>
    <w:pPr>
      <w:keepNext/>
      <w:keepLines/>
      <w:numPr>
        <w:ilvl w:val="3"/>
        <w:numId w:val="26"/>
      </w:numPr>
      <w:spacing w:before="200" w:after="0"/>
      <w:outlineLvl w:val="3"/>
    </w:pPr>
    <w:rPr>
      <w:rFonts w:ascii="Garamond" w:eastAsiaTheme="majorEastAsia" w:hAnsi="Garamond" w:cstheme="majorBidi"/>
      <w:b/>
      <w:bCs/>
      <w:i/>
      <w:iCs/>
      <w:color w:val="000000"/>
    </w:rPr>
  </w:style>
  <w:style w:type="paragraph" w:styleId="Heading5">
    <w:name w:val="heading 5"/>
    <w:basedOn w:val="Heading6"/>
    <w:next w:val="Normal"/>
    <w:link w:val="Heading5Char"/>
    <w:uiPriority w:val="9"/>
    <w:unhideWhenUsed/>
    <w:qFormat/>
    <w:rsid w:val="00A76CF5"/>
    <w:pPr>
      <w:numPr>
        <w:ilvl w:val="4"/>
        <w:numId w:val="26"/>
      </w:numPr>
      <w:outlineLvl w:val="4"/>
    </w:pPr>
  </w:style>
  <w:style w:type="paragraph" w:styleId="Heading6">
    <w:name w:val="heading 6"/>
    <w:basedOn w:val="Normal"/>
    <w:next w:val="Normal"/>
    <w:link w:val="Heading6Char"/>
    <w:uiPriority w:val="9"/>
    <w:unhideWhenUsed/>
    <w:qFormat/>
    <w:rsid w:val="00D15EB6"/>
    <w:pPr>
      <w:keepNext/>
      <w:keepLines/>
      <w:numPr>
        <w:ilvl w:val="5"/>
        <w:numId w:val="24"/>
      </w:numPr>
      <w:spacing w:before="200" w:after="0"/>
      <w:outlineLvl w:val="5"/>
    </w:pPr>
    <w:rPr>
      <w:rFonts w:ascii="Garamond" w:eastAsiaTheme="majorEastAsia" w:hAnsi="Garamond" w:cstheme="majorBidi"/>
      <w:iCs/>
      <w:color w:val="4F81BD" w:themeColor="accent1"/>
      <w:sz w:val="22"/>
    </w:rPr>
  </w:style>
  <w:style w:type="paragraph" w:styleId="Heading7">
    <w:name w:val="heading 7"/>
    <w:basedOn w:val="Normal"/>
    <w:next w:val="Normal"/>
    <w:link w:val="Heading7Char"/>
    <w:uiPriority w:val="9"/>
    <w:unhideWhenUsed/>
    <w:qFormat/>
    <w:rsid w:val="001F19DA"/>
    <w:pPr>
      <w:keepNext/>
      <w:keepLines/>
      <w:spacing w:before="200" w:after="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unhideWhenUsed/>
    <w:qFormat/>
    <w:rsid w:val="001F19DA"/>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1F19DA"/>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F19DA"/>
    <w:pPr>
      <w:spacing w:after="120" w:line="240" w:lineRule="auto"/>
      <w:contextualSpacing/>
    </w:pPr>
    <w:rPr>
      <w:rFonts w:asciiTheme="majorHAnsi" w:eastAsiaTheme="majorEastAsia" w:hAnsiTheme="majorHAnsi" w:cstheme="majorBidi"/>
      <w:color w:val="1F497D" w:themeColor="text2"/>
      <w:spacing w:val="30"/>
      <w:kern w:val="28"/>
      <w:sz w:val="96"/>
      <w:szCs w:val="52"/>
    </w:rPr>
  </w:style>
  <w:style w:type="paragraph" w:styleId="Subtitle">
    <w:name w:val="Subtitle"/>
    <w:basedOn w:val="Normal"/>
    <w:next w:val="Normal"/>
    <w:link w:val="SubtitleChar"/>
    <w:uiPriority w:val="11"/>
    <w:qFormat/>
    <w:rsid w:val="001F19DA"/>
    <w:pPr>
      <w:numPr>
        <w:ilvl w:val="1"/>
      </w:numPr>
    </w:pPr>
    <w:rPr>
      <w:rFonts w:eastAsiaTheme="majorEastAsia" w:cstheme="majorBidi"/>
      <w:iCs/>
      <w:color w:val="1F497D" w:themeColor="text2"/>
      <w:sz w:val="40"/>
      <w:szCs w:val="24"/>
      <w:lang w:bidi="hi-IN"/>
    </w:rPr>
  </w:style>
  <w:style w:type="table" w:customStyle="1" w:styleId="a">
    <w:basedOn w:val="TableNormal"/>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343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43EE"/>
    <w:rPr>
      <w:rFonts w:ascii="Tahoma" w:hAnsi="Tahoma" w:cs="Tahoma"/>
      <w:sz w:val="16"/>
      <w:szCs w:val="16"/>
    </w:rPr>
  </w:style>
  <w:style w:type="paragraph" w:styleId="TOC1">
    <w:name w:val="toc 1"/>
    <w:basedOn w:val="Normal"/>
    <w:next w:val="Normal"/>
    <w:autoRedefine/>
    <w:uiPriority w:val="39"/>
    <w:unhideWhenUsed/>
    <w:qFormat/>
    <w:rsid w:val="00D15EB6"/>
    <w:pPr>
      <w:spacing w:after="100"/>
    </w:pPr>
    <w:rPr>
      <w:rFonts w:ascii="Garamond" w:hAnsi="Garamond"/>
    </w:rPr>
  </w:style>
  <w:style w:type="paragraph" w:styleId="TOC2">
    <w:name w:val="toc 2"/>
    <w:basedOn w:val="Normal"/>
    <w:next w:val="Normal"/>
    <w:autoRedefine/>
    <w:uiPriority w:val="39"/>
    <w:unhideWhenUsed/>
    <w:qFormat/>
    <w:rsid w:val="00D15EB6"/>
    <w:pPr>
      <w:spacing w:after="100"/>
      <w:ind w:left="220"/>
    </w:pPr>
    <w:rPr>
      <w:rFonts w:ascii="Garamond" w:hAnsi="Garamond"/>
    </w:rPr>
  </w:style>
  <w:style w:type="paragraph" w:styleId="TOC3">
    <w:name w:val="toc 3"/>
    <w:basedOn w:val="Normal"/>
    <w:next w:val="Normal"/>
    <w:autoRedefine/>
    <w:uiPriority w:val="39"/>
    <w:unhideWhenUsed/>
    <w:qFormat/>
    <w:rsid w:val="00E336A2"/>
    <w:pPr>
      <w:spacing w:after="100"/>
      <w:ind w:left="440"/>
    </w:pPr>
  </w:style>
  <w:style w:type="paragraph" w:styleId="TOC4">
    <w:name w:val="toc 4"/>
    <w:basedOn w:val="Normal"/>
    <w:next w:val="Normal"/>
    <w:autoRedefine/>
    <w:uiPriority w:val="39"/>
    <w:unhideWhenUsed/>
    <w:rsid w:val="00E336A2"/>
    <w:pPr>
      <w:spacing w:after="100"/>
      <w:ind w:left="660"/>
    </w:pPr>
  </w:style>
  <w:style w:type="character" w:styleId="Hyperlink">
    <w:name w:val="Hyperlink"/>
    <w:basedOn w:val="DefaultParagraphFont"/>
    <w:uiPriority w:val="99"/>
    <w:unhideWhenUsed/>
    <w:rsid w:val="00E336A2"/>
    <w:rPr>
      <w:color w:val="0000FF" w:themeColor="hyperlink"/>
      <w:u w:val="single"/>
    </w:rPr>
  </w:style>
  <w:style w:type="character" w:customStyle="1" w:styleId="Heading1Char">
    <w:name w:val="Heading 1 Char"/>
    <w:basedOn w:val="DefaultParagraphFont"/>
    <w:link w:val="Heading1"/>
    <w:uiPriority w:val="9"/>
    <w:rsid w:val="00A76CF5"/>
    <w:rPr>
      <w:rFonts w:ascii="Garamond" w:eastAsiaTheme="majorEastAsia" w:hAnsi="Garamond" w:cstheme="majorBidi"/>
      <w:b/>
      <w:bCs/>
      <w:i/>
      <w:color w:val="4F81BD" w:themeColor="accent1"/>
      <w:spacing w:val="20"/>
      <w:sz w:val="40"/>
      <w:szCs w:val="28"/>
      <w:u w:val="single"/>
    </w:rPr>
  </w:style>
  <w:style w:type="character" w:customStyle="1" w:styleId="Heading2Char">
    <w:name w:val="Heading 2 Char"/>
    <w:basedOn w:val="DefaultParagraphFont"/>
    <w:link w:val="Heading2"/>
    <w:uiPriority w:val="9"/>
    <w:rsid w:val="00E122BF"/>
    <w:rPr>
      <w:rFonts w:ascii="Garamond" w:eastAsiaTheme="majorEastAsia" w:hAnsi="Garamond" w:cstheme="majorBidi"/>
      <w:b/>
      <w:bCs/>
      <w:i/>
      <w:color w:val="4F81BD" w:themeColor="accent1"/>
      <w:sz w:val="32"/>
      <w:szCs w:val="26"/>
    </w:rPr>
  </w:style>
  <w:style w:type="character" w:customStyle="1" w:styleId="Heading3Char">
    <w:name w:val="Heading 3 Char"/>
    <w:basedOn w:val="DefaultParagraphFont"/>
    <w:link w:val="Heading3"/>
    <w:uiPriority w:val="9"/>
    <w:rsid w:val="00D15EB6"/>
    <w:rPr>
      <w:rFonts w:ascii="Garamond" w:eastAsiaTheme="majorEastAsia" w:hAnsi="Garamond" w:cstheme="majorBidi"/>
      <w:b/>
      <w:bCs/>
      <w:i/>
      <w:color w:val="1F497D" w:themeColor="text2"/>
      <w:spacing w:val="14"/>
      <w:sz w:val="24"/>
    </w:rPr>
  </w:style>
  <w:style w:type="character" w:customStyle="1" w:styleId="Heading4Char">
    <w:name w:val="Heading 4 Char"/>
    <w:basedOn w:val="DefaultParagraphFont"/>
    <w:link w:val="Heading4"/>
    <w:uiPriority w:val="9"/>
    <w:rsid w:val="00D15EB6"/>
    <w:rPr>
      <w:rFonts w:ascii="Garamond" w:eastAsiaTheme="majorEastAsia" w:hAnsi="Garamond" w:cstheme="majorBidi"/>
      <w:b/>
      <w:bCs/>
      <w:i/>
      <w:iCs/>
      <w:color w:val="000000"/>
      <w:sz w:val="24"/>
    </w:rPr>
  </w:style>
  <w:style w:type="character" w:customStyle="1" w:styleId="Heading5Char">
    <w:name w:val="Heading 5 Char"/>
    <w:basedOn w:val="DefaultParagraphFont"/>
    <w:link w:val="Heading5"/>
    <w:uiPriority w:val="9"/>
    <w:rsid w:val="00A76CF5"/>
    <w:rPr>
      <w:rFonts w:ascii="Garamond" w:eastAsiaTheme="majorEastAsia" w:hAnsi="Garamond" w:cstheme="majorBidi"/>
      <w:iCs/>
      <w:color w:val="4F81BD" w:themeColor="accent1"/>
    </w:rPr>
  </w:style>
  <w:style w:type="character" w:customStyle="1" w:styleId="Heading6Char">
    <w:name w:val="Heading 6 Char"/>
    <w:basedOn w:val="DefaultParagraphFont"/>
    <w:link w:val="Heading6"/>
    <w:uiPriority w:val="9"/>
    <w:rsid w:val="00D15EB6"/>
    <w:rPr>
      <w:rFonts w:ascii="Garamond" w:eastAsiaTheme="majorEastAsia" w:hAnsi="Garamond" w:cstheme="majorBidi"/>
      <w:iCs/>
      <w:color w:val="4F81BD" w:themeColor="accent1"/>
    </w:rPr>
  </w:style>
  <w:style w:type="character" w:customStyle="1" w:styleId="Heading7Char">
    <w:name w:val="Heading 7 Char"/>
    <w:basedOn w:val="DefaultParagraphFont"/>
    <w:link w:val="Heading7"/>
    <w:uiPriority w:val="9"/>
    <w:rsid w:val="001F19DA"/>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rsid w:val="001F19DA"/>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1F19DA"/>
    <w:rPr>
      <w:rFonts w:asciiTheme="majorHAnsi" w:eastAsiaTheme="majorEastAsia" w:hAnsiTheme="majorHAnsi" w:cstheme="majorBidi"/>
      <w:i/>
      <w:iCs/>
      <w:color w:val="000000"/>
      <w:sz w:val="20"/>
      <w:szCs w:val="20"/>
    </w:rPr>
  </w:style>
  <w:style w:type="paragraph" w:styleId="Caption">
    <w:name w:val="caption"/>
    <w:basedOn w:val="Normal"/>
    <w:next w:val="Normal"/>
    <w:uiPriority w:val="35"/>
    <w:unhideWhenUsed/>
    <w:qFormat/>
    <w:rsid w:val="00BE384B"/>
    <w:pPr>
      <w:keepNext/>
      <w:spacing w:after="0" w:line="240" w:lineRule="auto"/>
      <w:jc w:val="center"/>
    </w:pPr>
    <w:rPr>
      <w:rFonts w:eastAsiaTheme="minorEastAsia" w:cs="Times New Roman"/>
      <w:bCs/>
      <w:smallCaps/>
      <w:color w:val="1F497D" w:themeColor="text2"/>
      <w:spacing w:val="6"/>
      <w:sz w:val="22"/>
      <w:szCs w:val="18"/>
      <w:lang w:bidi="hi-IN"/>
    </w:rPr>
  </w:style>
  <w:style w:type="character" w:customStyle="1" w:styleId="TitleChar">
    <w:name w:val="Title Char"/>
    <w:basedOn w:val="DefaultParagraphFont"/>
    <w:link w:val="Title"/>
    <w:uiPriority w:val="10"/>
    <w:rsid w:val="001F19DA"/>
    <w:rPr>
      <w:rFonts w:asciiTheme="majorHAnsi" w:eastAsiaTheme="majorEastAsia" w:hAnsiTheme="majorHAnsi" w:cstheme="majorBidi"/>
      <w:color w:val="1F497D" w:themeColor="text2"/>
      <w:spacing w:val="30"/>
      <w:kern w:val="28"/>
      <w:sz w:val="96"/>
      <w:szCs w:val="52"/>
    </w:rPr>
  </w:style>
  <w:style w:type="character" w:customStyle="1" w:styleId="SubtitleChar">
    <w:name w:val="Subtitle Char"/>
    <w:basedOn w:val="DefaultParagraphFont"/>
    <w:link w:val="Subtitle"/>
    <w:uiPriority w:val="11"/>
    <w:rsid w:val="001F19DA"/>
    <w:rPr>
      <w:rFonts w:eastAsiaTheme="majorEastAsia" w:cstheme="majorBidi"/>
      <w:iCs/>
      <w:color w:val="1F497D" w:themeColor="text2"/>
      <w:sz w:val="40"/>
      <w:szCs w:val="24"/>
      <w:lang w:bidi="hi-IN"/>
    </w:rPr>
  </w:style>
  <w:style w:type="character" w:styleId="Strong">
    <w:name w:val="Strong"/>
    <w:basedOn w:val="DefaultParagraphFont"/>
    <w:uiPriority w:val="22"/>
    <w:qFormat/>
    <w:rsid w:val="001F19DA"/>
    <w:rPr>
      <w:b w:val="0"/>
      <w:bCs/>
      <w:i/>
      <w:color w:val="1F497D" w:themeColor="text2"/>
    </w:rPr>
  </w:style>
  <w:style w:type="character" w:styleId="Emphasis">
    <w:name w:val="Emphasis"/>
    <w:basedOn w:val="DefaultParagraphFont"/>
    <w:uiPriority w:val="20"/>
    <w:qFormat/>
    <w:rsid w:val="001F19DA"/>
    <w:rPr>
      <w:b/>
      <w:i/>
      <w:iCs/>
    </w:rPr>
  </w:style>
  <w:style w:type="paragraph" w:styleId="NoSpacing">
    <w:name w:val="No Spacing"/>
    <w:link w:val="NoSpacingChar"/>
    <w:uiPriority w:val="1"/>
    <w:qFormat/>
    <w:rsid w:val="001F19DA"/>
    <w:pPr>
      <w:spacing w:after="0" w:line="240" w:lineRule="auto"/>
    </w:pPr>
  </w:style>
  <w:style w:type="character" w:customStyle="1" w:styleId="NoSpacingChar">
    <w:name w:val="No Spacing Char"/>
    <w:basedOn w:val="DefaultParagraphFont"/>
    <w:link w:val="NoSpacing"/>
    <w:uiPriority w:val="1"/>
    <w:rsid w:val="001F19DA"/>
  </w:style>
  <w:style w:type="paragraph" w:styleId="ListParagraph">
    <w:name w:val="List Paragraph"/>
    <w:basedOn w:val="Normal"/>
    <w:uiPriority w:val="34"/>
    <w:qFormat/>
    <w:rsid w:val="001F19DA"/>
    <w:pPr>
      <w:spacing w:line="240" w:lineRule="auto"/>
      <w:ind w:left="720" w:hanging="288"/>
      <w:contextualSpacing/>
    </w:pPr>
    <w:rPr>
      <w:color w:val="1F497D" w:themeColor="text2"/>
    </w:rPr>
  </w:style>
  <w:style w:type="paragraph" w:styleId="Quote">
    <w:name w:val="Quote"/>
    <w:basedOn w:val="Normal"/>
    <w:next w:val="Normal"/>
    <w:link w:val="QuoteChar"/>
    <w:uiPriority w:val="29"/>
    <w:qFormat/>
    <w:rsid w:val="001F19DA"/>
    <w:pPr>
      <w:spacing w:after="0" w:line="360" w:lineRule="auto"/>
      <w:jc w:val="center"/>
    </w:pPr>
    <w:rPr>
      <w:rFonts w:eastAsiaTheme="minorEastAsia"/>
      <w:b/>
      <w:i/>
      <w:iCs/>
      <w:color w:val="4F81BD" w:themeColor="accent1"/>
      <w:sz w:val="26"/>
      <w:lang w:bidi="hi-IN"/>
    </w:rPr>
  </w:style>
  <w:style w:type="character" w:customStyle="1" w:styleId="QuoteChar">
    <w:name w:val="Quote Char"/>
    <w:basedOn w:val="DefaultParagraphFont"/>
    <w:link w:val="Quote"/>
    <w:uiPriority w:val="29"/>
    <w:rsid w:val="001F19DA"/>
    <w:rPr>
      <w:rFonts w:eastAsiaTheme="minorEastAsia"/>
      <w:b/>
      <w:i/>
      <w:iCs/>
      <w:color w:val="4F81BD" w:themeColor="accent1"/>
      <w:sz w:val="26"/>
      <w:lang w:bidi="hi-IN"/>
    </w:rPr>
  </w:style>
  <w:style w:type="paragraph" w:styleId="IntenseQuote">
    <w:name w:val="Intense Quote"/>
    <w:basedOn w:val="Normal"/>
    <w:next w:val="Normal"/>
    <w:link w:val="IntenseQuoteChar"/>
    <w:uiPriority w:val="30"/>
    <w:qFormat/>
    <w:rsid w:val="001F19DA"/>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after="200" w:line="360" w:lineRule="auto"/>
      <w:ind w:left="259" w:right="259"/>
      <w:jc w:val="center"/>
    </w:pPr>
    <w:rPr>
      <w:rFonts w:asciiTheme="majorHAnsi" w:eastAsiaTheme="minorEastAsia" w:hAnsiTheme="majorHAnsi"/>
      <w:bCs/>
      <w:iCs/>
      <w:color w:val="FFFFFF" w:themeColor="background1"/>
      <w:sz w:val="28"/>
      <w:lang w:bidi="hi-IN"/>
    </w:rPr>
  </w:style>
  <w:style w:type="character" w:customStyle="1" w:styleId="IntenseQuoteChar">
    <w:name w:val="Intense Quote Char"/>
    <w:basedOn w:val="DefaultParagraphFont"/>
    <w:link w:val="IntenseQuote"/>
    <w:uiPriority w:val="30"/>
    <w:rsid w:val="001F19DA"/>
    <w:rPr>
      <w:rFonts w:asciiTheme="majorHAnsi" w:eastAsiaTheme="minorEastAsia" w:hAnsiTheme="majorHAnsi"/>
      <w:bCs/>
      <w:iCs/>
      <w:color w:val="FFFFFF" w:themeColor="background1"/>
      <w:sz w:val="28"/>
      <w:shd w:val="clear" w:color="auto" w:fill="4F81BD" w:themeFill="accent1"/>
      <w:lang w:bidi="hi-IN"/>
    </w:rPr>
  </w:style>
  <w:style w:type="character" w:styleId="SubtleEmphasis">
    <w:name w:val="Subtle Emphasis"/>
    <w:basedOn w:val="DefaultParagraphFont"/>
    <w:uiPriority w:val="19"/>
    <w:qFormat/>
    <w:rsid w:val="001F19DA"/>
    <w:rPr>
      <w:i/>
      <w:iCs/>
      <w:color w:val="000000"/>
    </w:rPr>
  </w:style>
  <w:style w:type="character" w:styleId="IntenseEmphasis">
    <w:name w:val="Intense Emphasis"/>
    <w:basedOn w:val="DefaultParagraphFont"/>
    <w:uiPriority w:val="21"/>
    <w:qFormat/>
    <w:rsid w:val="001F19DA"/>
    <w:rPr>
      <w:b/>
      <w:bCs/>
      <w:i/>
      <w:iCs/>
      <w:color w:val="4F81BD" w:themeColor="accent1"/>
    </w:rPr>
  </w:style>
  <w:style w:type="character" w:styleId="SubtleReference">
    <w:name w:val="Subtle Reference"/>
    <w:basedOn w:val="DefaultParagraphFont"/>
    <w:uiPriority w:val="31"/>
    <w:qFormat/>
    <w:rsid w:val="001F19DA"/>
    <w:rPr>
      <w:smallCaps/>
      <w:color w:val="000000"/>
      <w:u w:val="single"/>
    </w:rPr>
  </w:style>
  <w:style w:type="character" w:styleId="IntenseReference">
    <w:name w:val="Intense Reference"/>
    <w:basedOn w:val="DefaultParagraphFont"/>
    <w:uiPriority w:val="32"/>
    <w:qFormat/>
    <w:rsid w:val="001F19DA"/>
    <w:rPr>
      <w:b w:val="0"/>
      <w:bCs/>
      <w:smallCaps/>
      <w:color w:val="4F81BD" w:themeColor="accent1"/>
      <w:spacing w:val="5"/>
      <w:u w:val="single"/>
    </w:rPr>
  </w:style>
  <w:style w:type="character" w:styleId="BookTitle">
    <w:name w:val="Book Title"/>
    <w:basedOn w:val="DefaultParagraphFont"/>
    <w:uiPriority w:val="33"/>
    <w:qFormat/>
    <w:rsid w:val="001F19DA"/>
    <w:rPr>
      <w:b/>
      <w:bCs/>
      <w:caps/>
      <w:smallCaps w:val="0"/>
      <w:color w:val="1F497D" w:themeColor="text2"/>
      <w:spacing w:val="10"/>
    </w:rPr>
  </w:style>
  <w:style w:type="paragraph" w:styleId="TOCHeading">
    <w:name w:val="TOC Heading"/>
    <w:basedOn w:val="Heading1"/>
    <w:next w:val="Normal"/>
    <w:uiPriority w:val="39"/>
    <w:unhideWhenUsed/>
    <w:qFormat/>
    <w:rsid w:val="00D15EB6"/>
    <w:pPr>
      <w:spacing w:before="480" w:line="264" w:lineRule="auto"/>
      <w:outlineLvl w:val="9"/>
    </w:pPr>
    <w:rPr>
      <w:b w:val="0"/>
    </w:rPr>
  </w:style>
  <w:style w:type="paragraph" w:styleId="Header">
    <w:name w:val="header"/>
    <w:basedOn w:val="Normal"/>
    <w:link w:val="HeaderChar"/>
    <w:uiPriority w:val="99"/>
    <w:unhideWhenUsed/>
    <w:rsid w:val="005C5F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5F16"/>
    <w:rPr>
      <w:rFonts w:ascii="Times New Roman" w:hAnsi="Times New Roman"/>
      <w:sz w:val="24"/>
    </w:rPr>
  </w:style>
  <w:style w:type="paragraph" w:styleId="Footer">
    <w:name w:val="footer"/>
    <w:basedOn w:val="Normal"/>
    <w:link w:val="FooterChar"/>
    <w:uiPriority w:val="99"/>
    <w:unhideWhenUsed/>
    <w:rsid w:val="005C5F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5F16"/>
    <w:rPr>
      <w:rFonts w:ascii="Times New Roman" w:hAnsi="Times New Roman"/>
      <w:sz w:val="24"/>
    </w:rPr>
  </w:style>
  <w:style w:type="paragraph" w:styleId="CommentSubject">
    <w:name w:val="annotation subject"/>
    <w:basedOn w:val="CommentText"/>
    <w:next w:val="CommentText"/>
    <w:link w:val="CommentSubjectChar"/>
    <w:uiPriority w:val="99"/>
    <w:semiHidden/>
    <w:unhideWhenUsed/>
    <w:rsid w:val="001F0C22"/>
    <w:rPr>
      <w:b/>
      <w:bCs/>
    </w:rPr>
  </w:style>
  <w:style w:type="character" w:customStyle="1" w:styleId="CommentSubjectChar">
    <w:name w:val="Comment Subject Char"/>
    <w:basedOn w:val="CommentTextChar"/>
    <w:link w:val="CommentSubject"/>
    <w:uiPriority w:val="99"/>
    <w:semiHidden/>
    <w:rsid w:val="001F0C22"/>
    <w:rPr>
      <w:rFonts w:ascii="Times New Roman" w:hAnsi="Times New Roman"/>
      <w:b/>
      <w:bCs/>
      <w:sz w:val="20"/>
      <w:szCs w:val="20"/>
    </w:rPr>
  </w:style>
  <w:style w:type="character" w:styleId="PageNumber">
    <w:name w:val="page number"/>
    <w:basedOn w:val="DefaultParagraphFont"/>
    <w:uiPriority w:val="99"/>
    <w:semiHidden/>
    <w:unhideWhenUsed/>
    <w:rsid w:val="009E455B"/>
  </w:style>
  <w:style w:type="paragraph" w:styleId="FootnoteText">
    <w:name w:val="footnote text"/>
    <w:basedOn w:val="Normal"/>
    <w:link w:val="FootnoteTextChar"/>
    <w:uiPriority w:val="99"/>
    <w:unhideWhenUsed/>
    <w:rsid w:val="00094063"/>
    <w:pPr>
      <w:spacing w:after="0" w:line="240" w:lineRule="auto"/>
    </w:pPr>
    <w:rPr>
      <w:szCs w:val="24"/>
    </w:rPr>
  </w:style>
  <w:style w:type="character" w:customStyle="1" w:styleId="FootnoteTextChar">
    <w:name w:val="Footnote Text Char"/>
    <w:basedOn w:val="DefaultParagraphFont"/>
    <w:link w:val="FootnoteText"/>
    <w:uiPriority w:val="99"/>
    <w:rsid w:val="00094063"/>
    <w:rPr>
      <w:rFonts w:ascii="Times New Roman" w:hAnsi="Times New Roman"/>
      <w:sz w:val="24"/>
      <w:szCs w:val="24"/>
    </w:rPr>
  </w:style>
  <w:style w:type="character" w:styleId="FootnoteReference">
    <w:name w:val="footnote reference"/>
    <w:basedOn w:val="DefaultParagraphFont"/>
    <w:uiPriority w:val="99"/>
    <w:unhideWhenUsed/>
    <w:rsid w:val="00094063"/>
    <w:rPr>
      <w:vertAlign w:val="superscript"/>
    </w:rPr>
  </w:style>
  <w:style w:type="character" w:customStyle="1" w:styleId="normaltextrun">
    <w:name w:val="normaltextrun"/>
    <w:basedOn w:val="DefaultParagraphFont"/>
    <w:rsid w:val="00793FE6"/>
  </w:style>
  <w:style w:type="table" w:styleId="TableGrid">
    <w:name w:val="Table Grid"/>
    <w:basedOn w:val="TableNormal"/>
    <w:uiPriority w:val="59"/>
    <w:rsid w:val="00895EA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6170E"/>
    <w:rPr>
      <w:color w:val="800080" w:themeColor="followedHyperlink"/>
      <w:u w:val="single"/>
    </w:rPr>
  </w:style>
  <w:style w:type="table" w:customStyle="1" w:styleId="GridTable5Dark-Accent11">
    <w:name w:val="Grid Table 5 Dark - Accent 11"/>
    <w:basedOn w:val="TableNormal"/>
    <w:uiPriority w:val="50"/>
    <w:rsid w:val="0074278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11">
    <w:name w:val="Grid Table 4 - Accent 11"/>
    <w:basedOn w:val="TableNormal"/>
    <w:uiPriority w:val="49"/>
    <w:rsid w:val="001E39AF"/>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110">
    <w:name w:val="Grid Table 5 Dark - Accent 11"/>
    <w:basedOn w:val="TableNormal"/>
    <w:uiPriority w:val="50"/>
    <w:rsid w:val="00C37C2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110">
    <w:name w:val="Grid Table 4 - Accent 11"/>
    <w:basedOn w:val="TableNormal"/>
    <w:uiPriority w:val="49"/>
    <w:rsid w:val="00C37C2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CallOutBoxTitle">
    <w:name w:val="Call Out Box Title"/>
    <w:basedOn w:val="Normal"/>
    <w:qFormat/>
    <w:rsid w:val="005832B8"/>
    <w:pPr>
      <w:jc w:val="center"/>
    </w:pPr>
    <w:rPr>
      <w:rFonts w:cs="Arial"/>
      <w:b/>
      <w:color w:val="FFFFFF" w:themeColor="background1"/>
    </w:rPr>
  </w:style>
  <w:style w:type="paragraph" w:customStyle="1" w:styleId="CallOutBoxBullets">
    <w:name w:val="Call Out Box Bullets"/>
    <w:basedOn w:val="ListParagraph"/>
    <w:qFormat/>
    <w:rsid w:val="005832B8"/>
    <w:pPr>
      <w:widowControl w:val="0"/>
      <w:numPr>
        <w:numId w:val="16"/>
      </w:numPr>
      <w:spacing w:line="276" w:lineRule="auto"/>
      <w:ind w:left="270" w:hanging="270"/>
    </w:pPr>
    <w:rPr>
      <w:rFonts w:cs="Arial"/>
      <w:color w:val="FFFFFF" w:themeColor="background1"/>
    </w:rPr>
  </w:style>
  <w:style w:type="paragraph" w:customStyle="1" w:styleId="BodyQuotedText">
    <w:name w:val="Body Quoted Text"/>
    <w:basedOn w:val="Normal"/>
    <w:qFormat/>
    <w:rsid w:val="005832B8"/>
    <w:pPr>
      <w:ind w:left="630"/>
    </w:pPr>
    <w:rPr>
      <w:rFonts w:eastAsia="Times New Roman" w:cs="Times New Roman"/>
      <w:i/>
    </w:rPr>
  </w:style>
  <w:style w:type="paragraph" w:customStyle="1" w:styleId="Graphic">
    <w:name w:val="Graphic"/>
    <w:basedOn w:val="Normal"/>
    <w:qFormat/>
    <w:rsid w:val="00EF2E00"/>
    <w:pPr>
      <w:spacing w:after="0" w:line="240" w:lineRule="auto"/>
      <w:jc w:val="center"/>
    </w:pPr>
    <w:rPr>
      <w:noProof/>
    </w:rPr>
  </w:style>
  <w:style w:type="paragraph" w:customStyle="1" w:styleId="BodyBullet1">
    <w:name w:val="Body Bullet 1"/>
    <w:basedOn w:val="ListParagraph"/>
    <w:qFormat/>
    <w:rsid w:val="00946FD0"/>
    <w:pPr>
      <w:numPr>
        <w:numId w:val="22"/>
      </w:numPr>
      <w:ind w:left="540"/>
    </w:pPr>
    <w:rPr>
      <w:color w:val="auto"/>
    </w:rPr>
  </w:style>
  <w:style w:type="paragraph" w:customStyle="1" w:styleId="BodyBullet2">
    <w:name w:val="Body Bullet 2"/>
    <w:basedOn w:val="Normal"/>
    <w:qFormat/>
    <w:rsid w:val="00946FD0"/>
    <w:pPr>
      <w:numPr>
        <w:numId w:val="1"/>
      </w:numPr>
      <w:ind w:left="540" w:hanging="360"/>
      <w:contextualSpacing/>
    </w:pPr>
  </w:style>
  <w:style w:type="paragraph" w:customStyle="1" w:styleId="TOCHeader1">
    <w:name w:val="TOC Header 1"/>
    <w:basedOn w:val="Heading1"/>
    <w:qFormat/>
    <w:rsid w:val="00A76CF5"/>
    <w:pPr>
      <w:numPr>
        <w:numId w:val="0"/>
      </w:numPr>
    </w:pPr>
    <w:rPr>
      <w:rFonts w:eastAsiaTheme="minorHAnsi" w:cstheme="minorBidi"/>
      <w:spacing w:val="0"/>
      <w:szCs w:val="40"/>
    </w:rPr>
  </w:style>
  <w:style w:type="paragraph" w:styleId="TableofFigures">
    <w:name w:val="table of figures"/>
    <w:basedOn w:val="Normal"/>
    <w:next w:val="Normal"/>
    <w:uiPriority w:val="99"/>
    <w:unhideWhenUsed/>
    <w:rsid w:val="00DD5C85"/>
    <w:pPr>
      <w:spacing w:after="0"/>
    </w:pPr>
    <w:rPr>
      <w:rFonts w:ascii="Garamond" w:hAnsi="Garamon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7513835">
      <w:bodyDiv w:val="1"/>
      <w:marLeft w:val="0"/>
      <w:marRight w:val="0"/>
      <w:marTop w:val="0"/>
      <w:marBottom w:val="0"/>
      <w:divBdr>
        <w:top w:val="none" w:sz="0" w:space="0" w:color="auto"/>
        <w:left w:val="none" w:sz="0" w:space="0" w:color="auto"/>
        <w:bottom w:val="none" w:sz="0" w:space="0" w:color="auto"/>
        <w:right w:val="none" w:sz="0" w:space="0" w:color="auto"/>
      </w:divBdr>
    </w:div>
    <w:div w:id="489950958">
      <w:bodyDiv w:val="1"/>
      <w:marLeft w:val="0"/>
      <w:marRight w:val="0"/>
      <w:marTop w:val="0"/>
      <w:marBottom w:val="0"/>
      <w:divBdr>
        <w:top w:val="none" w:sz="0" w:space="0" w:color="auto"/>
        <w:left w:val="none" w:sz="0" w:space="0" w:color="auto"/>
        <w:bottom w:val="none" w:sz="0" w:space="0" w:color="auto"/>
        <w:right w:val="none" w:sz="0" w:space="0" w:color="auto"/>
      </w:divBdr>
    </w:div>
    <w:div w:id="502622525">
      <w:bodyDiv w:val="1"/>
      <w:marLeft w:val="0"/>
      <w:marRight w:val="0"/>
      <w:marTop w:val="0"/>
      <w:marBottom w:val="0"/>
      <w:divBdr>
        <w:top w:val="none" w:sz="0" w:space="0" w:color="auto"/>
        <w:left w:val="none" w:sz="0" w:space="0" w:color="auto"/>
        <w:bottom w:val="none" w:sz="0" w:space="0" w:color="auto"/>
        <w:right w:val="none" w:sz="0" w:space="0" w:color="auto"/>
      </w:divBdr>
    </w:div>
    <w:div w:id="525295629">
      <w:bodyDiv w:val="1"/>
      <w:marLeft w:val="0"/>
      <w:marRight w:val="0"/>
      <w:marTop w:val="0"/>
      <w:marBottom w:val="0"/>
      <w:divBdr>
        <w:top w:val="none" w:sz="0" w:space="0" w:color="auto"/>
        <w:left w:val="none" w:sz="0" w:space="0" w:color="auto"/>
        <w:bottom w:val="none" w:sz="0" w:space="0" w:color="auto"/>
        <w:right w:val="none" w:sz="0" w:space="0" w:color="auto"/>
      </w:divBdr>
    </w:div>
    <w:div w:id="591624943">
      <w:bodyDiv w:val="1"/>
      <w:marLeft w:val="0"/>
      <w:marRight w:val="0"/>
      <w:marTop w:val="0"/>
      <w:marBottom w:val="0"/>
      <w:divBdr>
        <w:top w:val="none" w:sz="0" w:space="0" w:color="auto"/>
        <w:left w:val="none" w:sz="0" w:space="0" w:color="auto"/>
        <w:bottom w:val="none" w:sz="0" w:space="0" w:color="auto"/>
        <w:right w:val="none" w:sz="0" w:space="0" w:color="auto"/>
      </w:divBdr>
    </w:div>
    <w:div w:id="745805424">
      <w:bodyDiv w:val="1"/>
      <w:marLeft w:val="0"/>
      <w:marRight w:val="0"/>
      <w:marTop w:val="0"/>
      <w:marBottom w:val="0"/>
      <w:divBdr>
        <w:top w:val="none" w:sz="0" w:space="0" w:color="auto"/>
        <w:left w:val="none" w:sz="0" w:space="0" w:color="auto"/>
        <w:bottom w:val="none" w:sz="0" w:space="0" w:color="auto"/>
        <w:right w:val="none" w:sz="0" w:space="0" w:color="auto"/>
      </w:divBdr>
      <w:divsChild>
        <w:div w:id="1006785040">
          <w:marLeft w:val="446"/>
          <w:marRight w:val="0"/>
          <w:marTop w:val="0"/>
          <w:marBottom w:val="0"/>
          <w:divBdr>
            <w:top w:val="none" w:sz="0" w:space="0" w:color="auto"/>
            <w:left w:val="none" w:sz="0" w:space="0" w:color="auto"/>
            <w:bottom w:val="none" w:sz="0" w:space="0" w:color="auto"/>
            <w:right w:val="none" w:sz="0" w:space="0" w:color="auto"/>
          </w:divBdr>
        </w:div>
        <w:div w:id="928081655">
          <w:marLeft w:val="446"/>
          <w:marRight w:val="0"/>
          <w:marTop w:val="0"/>
          <w:marBottom w:val="0"/>
          <w:divBdr>
            <w:top w:val="none" w:sz="0" w:space="0" w:color="auto"/>
            <w:left w:val="none" w:sz="0" w:space="0" w:color="auto"/>
            <w:bottom w:val="none" w:sz="0" w:space="0" w:color="auto"/>
            <w:right w:val="none" w:sz="0" w:space="0" w:color="auto"/>
          </w:divBdr>
        </w:div>
        <w:div w:id="144510971">
          <w:marLeft w:val="446"/>
          <w:marRight w:val="0"/>
          <w:marTop w:val="0"/>
          <w:marBottom w:val="0"/>
          <w:divBdr>
            <w:top w:val="none" w:sz="0" w:space="0" w:color="auto"/>
            <w:left w:val="none" w:sz="0" w:space="0" w:color="auto"/>
            <w:bottom w:val="none" w:sz="0" w:space="0" w:color="auto"/>
            <w:right w:val="none" w:sz="0" w:space="0" w:color="auto"/>
          </w:divBdr>
        </w:div>
        <w:div w:id="1109397171">
          <w:marLeft w:val="446"/>
          <w:marRight w:val="0"/>
          <w:marTop w:val="0"/>
          <w:marBottom w:val="0"/>
          <w:divBdr>
            <w:top w:val="none" w:sz="0" w:space="0" w:color="auto"/>
            <w:left w:val="none" w:sz="0" w:space="0" w:color="auto"/>
            <w:bottom w:val="none" w:sz="0" w:space="0" w:color="auto"/>
            <w:right w:val="none" w:sz="0" w:space="0" w:color="auto"/>
          </w:divBdr>
        </w:div>
        <w:div w:id="293415219">
          <w:marLeft w:val="446"/>
          <w:marRight w:val="0"/>
          <w:marTop w:val="0"/>
          <w:marBottom w:val="0"/>
          <w:divBdr>
            <w:top w:val="none" w:sz="0" w:space="0" w:color="auto"/>
            <w:left w:val="none" w:sz="0" w:space="0" w:color="auto"/>
            <w:bottom w:val="none" w:sz="0" w:space="0" w:color="auto"/>
            <w:right w:val="none" w:sz="0" w:space="0" w:color="auto"/>
          </w:divBdr>
        </w:div>
        <w:div w:id="1619948229">
          <w:marLeft w:val="446"/>
          <w:marRight w:val="0"/>
          <w:marTop w:val="0"/>
          <w:marBottom w:val="0"/>
          <w:divBdr>
            <w:top w:val="none" w:sz="0" w:space="0" w:color="auto"/>
            <w:left w:val="none" w:sz="0" w:space="0" w:color="auto"/>
            <w:bottom w:val="none" w:sz="0" w:space="0" w:color="auto"/>
            <w:right w:val="none" w:sz="0" w:space="0" w:color="auto"/>
          </w:divBdr>
        </w:div>
        <w:div w:id="1169910985">
          <w:marLeft w:val="446"/>
          <w:marRight w:val="0"/>
          <w:marTop w:val="0"/>
          <w:marBottom w:val="0"/>
          <w:divBdr>
            <w:top w:val="none" w:sz="0" w:space="0" w:color="auto"/>
            <w:left w:val="none" w:sz="0" w:space="0" w:color="auto"/>
            <w:bottom w:val="none" w:sz="0" w:space="0" w:color="auto"/>
            <w:right w:val="none" w:sz="0" w:space="0" w:color="auto"/>
          </w:divBdr>
        </w:div>
        <w:div w:id="134686364">
          <w:marLeft w:val="446"/>
          <w:marRight w:val="0"/>
          <w:marTop w:val="0"/>
          <w:marBottom w:val="0"/>
          <w:divBdr>
            <w:top w:val="none" w:sz="0" w:space="0" w:color="auto"/>
            <w:left w:val="none" w:sz="0" w:space="0" w:color="auto"/>
            <w:bottom w:val="none" w:sz="0" w:space="0" w:color="auto"/>
            <w:right w:val="none" w:sz="0" w:space="0" w:color="auto"/>
          </w:divBdr>
        </w:div>
      </w:divsChild>
    </w:div>
    <w:div w:id="750197620">
      <w:bodyDiv w:val="1"/>
      <w:marLeft w:val="0"/>
      <w:marRight w:val="0"/>
      <w:marTop w:val="0"/>
      <w:marBottom w:val="0"/>
      <w:divBdr>
        <w:top w:val="none" w:sz="0" w:space="0" w:color="auto"/>
        <w:left w:val="none" w:sz="0" w:space="0" w:color="auto"/>
        <w:bottom w:val="none" w:sz="0" w:space="0" w:color="auto"/>
        <w:right w:val="none" w:sz="0" w:space="0" w:color="auto"/>
      </w:divBdr>
    </w:div>
    <w:div w:id="778109736">
      <w:bodyDiv w:val="1"/>
      <w:marLeft w:val="0"/>
      <w:marRight w:val="0"/>
      <w:marTop w:val="0"/>
      <w:marBottom w:val="0"/>
      <w:divBdr>
        <w:top w:val="none" w:sz="0" w:space="0" w:color="auto"/>
        <w:left w:val="none" w:sz="0" w:space="0" w:color="auto"/>
        <w:bottom w:val="none" w:sz="0" w:space="0" w:color="auto"/>
        <w:right w:val="none" w:sz="0" w:space="0" w:color="auto"/>
      </w:divBdr>
    </w:div>
    <w:div w:id="791285691">
      <w:bodyDiv w:val="1"/>
      <w:marLeft w:val="0"/>
      <w:marRight w:val="0"/>
      <w:marTop w:val="0"/>
      <w:marBottom w:val="0"/>
      <w:divBdr>
        <w:top w:val="none" w:sz="0" w:space="0" w:color="auto"/>
        <w:left w:val="none" w:sz="0" w:space="0" w:color="auto"/>
        <w:bottom w:val="none" w:sz="0" w:space="0" w:color="auto"/>
        <w:right w:val="none" w:sz="0" w:space="0" w:color="auto"/>
      </w:divBdr>
    </w:div>
    <w:div w:id="866262122">
      <w:bodyDiv w:val="1"/>
      <w:marLeft w:val="0"/>
      <w:marRight w:val="0"/>
      <w:marTop w:val="0"/>
      <w:marBottom w:val="0"/>
      <w:divBdr>
        <w:top w:val="none" w:sz="0" w:space="0" w:color="auto"/>
        <w:left w:val="none" w:sz="0" w:space="0" w:color="auto"/>
        <w:bottom w:val="none" w:sz="0" w:space="0" w:color="auto"/>
        <w:right w:val="none" w:sz="0" w:space="0" w:color="auto"/>
      </w:divBdr>
    </w:div>
    <w:div w:id="881016828">
      <w:bodyDiv w:val="1"/>
      <w:marLeft w:val="0"/>
      <w:marRight w:val="0"/>
      <w:marTop w:val="0"/>
      <w:marBottom w:val="0"/>
      <w:divBdr>
        <w:top w:val="none" w:sz="0" w:space="0" w:color="auto"/>
        <w:left w:val="none" w:sz="0" w:space="0" w:color="auto"/>
        <w:bottom w:val="none" w:sz="0" w:space="0" w:color="auto"/>
        <w:right w:val="none" w:sz="0" w:space="0" w:color="auto"/>
      </w:divBdr>
    </w:div>
    <w:div w:id="914821761">
      <w:bodyDiv w:val="1"/>
      <w:marLeft w:val="0"/>
      <w:marRight w:val="0"/>
      <w:marTop w:val="0"/>
      <w:marBottom w:val="0"/>
      <w:divBdr>
        <w:top w:val="none" w:sz="0" w:space="0" w:color="auto"/>
        <w:left w:val="none" w:sz="0" w:space="0" w:color="auto"/>
        <w:bottom w:val="none" w:sz="0" w:space="0" w:color="auto"/>
        <w:right w:val="none" w:sz="0" w:space="0" w:color="auto"/>
      </w:divBdr>
    </w:div>
    <w:div w:id="949703435">
      <w:bodyDiv w:val="1"/>
      <w:marLeft w:val="0"/>
      <w:marRight w:val="0"/>
      <w:marTop w:val="0"/>
      <w:marBottom w:val="0"/>
      <w:divBdr>
        <w:top w:val="none" w:sz="0" w:space="0" w:color="auto"/>
        <w:left w:val="none" w:sz="0" w:space="0" w:color="auto"/>
        <w:bottom w:val="none" w:sz="0" w:space="0" w:color="auto"/>
        <w:right w:val="none" w:sz="0" w:space="0" w:color="auto"/>
      </w:divBdr>
    </w:div>
    <w:div w:id="994332490">
      <w:bodyDiv w:val="1"/>
      <w:marLeft w:val="0"/>
      <w:marRight w:val="0"/>
      <w:marTop w:val="0"/>
      <w:marBottom w:val="0"/>
      <w:divBdr>
        <w:top w:val="none" w:sz="0" w:space="0" w:color="auto"/>
        <w:left w:val="none" w:sz="0" w:space="0" w:color="auto"/>
        <w:bottom w:val="none" w:sz="0" w:space="0" w:color="auto"/>
        <w:right w:val="none" w:sz="0" w:space="0" w:color="auto"/>
      </w:divBdr>
    </w:div>
    <w:div w:id="1070074711">
      <w:bodyDiv w:val="1"/>
      <w:marLeft w:val="0"/>
      <w:marRight w:val="0"/>
      <w:marTop w:val="0"/>
      <w:marBottom w:val="0"/>
      <w:divBdr>
        <w:top w:val="none" w:sz="0" w:space="0" w:color="auto"/>
        <w:left w:val="none" w:sz="0" w:space="0" w:color="auto"/>
        <w:bottom w:val="none" w:sz="0" w:space="0" w:color="auto"/>
        <w:right w:val="none" w:sz="0" w:space="0" w:color="auto"/>
      </w:divBdr>
    </w:div>
    <w:div w:id="1070078654">
      <w:bodyDiv w:val="1"/>
      <w:marLeft w:val="0"/>
      <w:marRight w:val="0"/>
      <w:marTop w:val="0"/>
      <w:marBottom w:val="0"/>
      <w:divBdr>
        <w:top w:val="none" w:sz="0" w:space="0" w:color="auto"/>
        <w:left w:val="none" w:sz="0" w:space="0" w:color="auto"/>
        <w:bottom w:val="none" w:sz="0" w:space="0" w:color="auto"/>
        <w:right w:val="none" w:sz="0" w:space="0" w:color="auto"/>
      </w:divBdr>
    </w:div>
    <w:div w:id="1138373983">
      <w:bodyDiv w:val="1"/>
      <w:marLeft w:val="0"/>
      <w:marRight w:val="0"/>
      <w:marTop w:val="0"/>
      <w:marBottom w:val="0"/>
      <w:divBdr>
        <w:top w:val="none" w:sz="0" w:space="0" w:color="auto"/>
        <w:left w:val="none" w:sz="0" w:space="0" w:color="auto"/>
        <w:bottom w:val="none" w:sz="0" w:space="0" w:color="auto"/>
        <w:right w:val="none" w:sz="0" w:space="0" w:color="auto"/>
      </w:divBdr>
    </w:div>
    <w:div w:id="1140725890">
      <w:bodyDiv w:val="1"/>
      <w:marLeft w:val="0"/>
      <w:marRight w:val="0"/>
      <w:marTop w:val="0"/>
      <w:marBottom w:val="0"/>
      <w:divBdr>
        <w:top w:val="none" w:sz="0" w:space="0" w:color="auto"/>
        <w:left w:val="none" w:sz="0" w:space="0" w:color="auto"/>
        <w:bottom w:val="none" w:sz="0" w:space="0" w:color="auto"/>
        <w:right w:val="none" w:sz="0" w:space="0" w:color="auto"/>
      </w:divBdr>
    </w:div>
    <w:div w:id="1315180427">
      <w:bodyDiv w:val="1"/>
      <w:marLeft w:val="0"/>
      <w:marRight w:val="0"/>
      <w:marTop w:val="0"/>
      <w:marBottom w:val="0"/>
      <w:divBdr>
        <w:top w:val="none" w:sz="0" w:space="0" w:color="auto"/>
        <w:left w:val="none" w:sz="0" w:space="0" w:color="auto"/>
        <w:bottom w:val="none" w:sz="0" w:space="0" w:color="auto"/>
        <w:right w:val="none" w:sz="0" w:space="0" w:color="auto"/>
      </w:divBdr>
    </w:div>
    <w:div w:id="1319117641">
      <w:bodyDiv w:val="1"/>
      <w:marLeft w:val="0"/>
      <w:marRight w:val="0"/>
      <w:marTop w:val="0"/>
      <w:marBottom w:val="0"/>
      <w:divBdr>
        <w:top w:val="none" w:sz="0" w:space="0" w:color="auto"/>
        <w:left w:val="none" w:sz="0" w:space="0" w:color="auto"/>
        <w:bottom w:val="none" w:sz="0" w:space="0" w:color="auto"/>
        <w:right w:val="none" w:sz="0" w:space="0" w:color="auto"/>
      </w:divBdr>
      <w:divsChild>
        <w:div w:id="321197604">
          <w:marLeft w:val="446"/>
          <w:marRight w:val="0"/>
          <w:marTop w:val="0"/>
          <w:marBottom w:val="0"/>
          <w:divBdr>
            <w:top w:val="none" w:sz="0" w:space="0" w:color="auto"/>
            <w:left w:val="none" w:sz="0" w:space="0" w:color="auto"/>
            <w:bottom w:val="none" w:sz="0" w:space="0" w:color="auto"/>
            <w:right w:val="none" w:sz="0" w:space="0" w:color="auto"/>
          </w:divBdr>
        </w:div>
        <w:div w:id="518543883">
          <w:marLeft w:val="446"/>
          <w:marRight w:val="0"/>
          <w:marTop w:val="0"/>
          <w:marBottom w:val="0"/>
          <w:divBdr>
            <w:top w:val="none" w:sz="0" w:space="0" w:color="auto"/>
            <w:left w:val="none" w:sz="0" w:space="0" w:color="auto"/>
            <w:bottom w:val="none" w:sz="0" w:space="0" w:color="auto"/>
            <w:right w:val="none" w:sz="0" w:space="0" w:color="auto"/>
          </w:divBdr>
        </w:div>
        <w:div w:id="153106743">
          <w:marLeft w:val="446"/>
          <w:marRight w:val="0"/>
          <w:marTop w:val="0"/>
          <w:marBottom w:val="0"/>
          <w:divBdr>
            <w:top w:val="none" w:sz="0" w:space="0" w:color="auto"/>
            <w:left w:val="none" w:sz="0" w:space="0" w:color="auto"/>
            <w:bottom w:val="none" w:sz="0" w:space="0" w:color="auto"/>
            <w:right w:val="none" w:sz="0" w:space="0" w:color="auto"/>
          </w:divBdr>
        </w:div>
        <w:div w:id="736168578">
          <w:marLeft w:val="446"/>
          <w:marRight w:val="0"/>
          <w:marTop w:val="0"/>
          <w:marBottom w:val="0"/>
          <w:divBdr>
            <w:top w:val="none" w:sz="0" w:space="0" w:color="auto"/>
            <w:left w:val="none" w:sz="0" w:space="0" w:color="auto"/>
            <w:bottom w:val="none" w:sz="0" w:space="0" w:color="auto"/>
            <w:right w:val="none" w:sz="0" w:space="0" w:color="auto"/>
          </w:divBdr>
        </w:div>
        <w:div w:id="1345129836">
          <w:marLeft w:val="446"/>
          <w:marRight w:val="0"/>
          <w:marTop w:val="0"/>
          <w:marBottom w:val="0"/>
          <w:divBdr>
            <w:top w:val="none" w:sz="0" w:space="0" w:color="auto"/>
            <w:left w:val="none" w:sz="0" w:space="0" w:color="auto"/>
            <w:bottom w:val="none" w:sz="0" w:space="0" w:color="auto"/>
            <w:right w:val="none" w:sz="0" w:space="0" w:color="auto"/>
          </w:divBdr>
        </w:div>
        <w:div w:id="1677414448">
          <w:marLeft w:val="446"/>
          <w:marRight w:val="0"/>
          <w:marTop w:val="0"/>
          <w:marBottom w:val="0"/>
          <w:divBdr>
            <w:top w:val="none" w:sz="0" w:space="0" w:color="auto"/>
            <w:left w:val="none" w:sz="0" w:space="0" w:color="auto"/>
            <w:bottom w:val="none" w:sz="0" w:space="0" w:color="auto"/>
            <w:right w:val="none" w:sz="0" w:space="0" w:color="auto"/>
          </w:divBdr>
        </w:div>
        <w:div w:id="147065035">
          <w:marLeft w:val="446"/>
          <w:marRight w:val="0"/>
          <w:marTop w:val="0"/>
          <w:marBottom w:val="0"/>
          <w:divBdr>
            <w:top w:val="none" w:sz="0" w:space="0" w:color="auto"/>
            <w:left w:val="none" w:sz="0" w:space="0" w:color="auto"/>
            <w:bottom w:val="none" w:sz="0" w:space="0" w:color="auto"/>
            <w:right w:val="none" w:sz="0" w:space="0" w:color="auto"/>
          </w:divBdr>
        </w:div>
        <w:div w:id="224220565">
          <w:marLeft w:val="446"/>
          <w:marRight w:val="0"/>
          <w:marTop w:val="0"/>
          <w:marBottom w:val="0"/>
          <w:divBdr>
            <w:top w:val="none" w:sz="0" w:space="0" w:color="auto"/>
            <w:left w:val="none" w:sz="0" w:space="0" w:color="auto"/>
            <w:bottom w:val="none" w:sz="0" w:space="0" w:color="auto"/>
            <w:right w:val="none" w:sz="0" w:space="0" w:color="auto"/>
          </w:divBdr>
        </w:div>
      </w:divsChild>
    </w:div>
    <w:div w:id="1322083607">
      <w:bodyDiv w:val="1"/>
      <w:marLeft w:val="0"/>
      <w:marRight w:val="0"/>
      <w:marTop w:val="0"/>
      <w:marBottom w:val="0"/>
      <w:divBdr>
        <w:top w:val="none" w:sz="0" w:space="0" w:color="auto"/>
        <w:left w:val="none" w:sz="0" w:space="0" w:color="auto"/>
        <w:bottom w:val="none" w:sz="0" w:space="0" w:color="auto"/>
        <w:right w:val="none" w:sz="0" w:space="0" w:color="auto"/>
      </w:divBdr>
    </w:div>
    <w:div w:id="1322998595">
      <w:bodyDiv w:val="1"/>
      <w:marLeft w:val="0"/>
      <w:marRight w:val="0"/>
      <w:marTop w:val="0"/>
      <w:marBottom w:val="0"/>
      <w:divBdr>
        <w:top w:val="none" w:sz="0" w:space="0" w:color="auto"/>
        <w:left w:val="none" w:sz="0" w:space="0" w:color="auto"/>
        <w:bottom w:val="none" w:sz="0" w:space="0" w:color="auto"/>
        <w:right w:val="none" w:sz="0" w:space="0" w:color="auto"/>
      </w:divBdr>
    </w:div>
    <w:div w:id="1360005574">
      <w:bodyDiv w:val="1"/>
      <w:marLeft w:val="0"/>
      <w:marRight w:val="0"/>
      <w:marTop w:val="0"/>
      <w:marBottom w:val="0"/>
      <w:divBdr>
        <w:top w:val="none" w:sz="0" w:space="0" w:color="auto"/>
        <w:left w:val="none" w:sz="0" w:space="0" w:color="auto"/>
        <w:bottom w:val="none" w:sz="0" w:space="0" w:color="auto"/>
        <w:right w:val="none" w:sz="0" w:space="0" w:color="auto"/>
      </w:divBdr>
    </w:div>
    <w:div w:id="1416710045">
      <w:bodyDiv w:val="1"/>
      <w:marLeft w:val="0"/>
      <w:marRight w:val="0"/>
      <w:marTop w:val="0"/>
      <w:marBottom w:val="0"/>
      <w:divBdr>
        <w:top w:val="none" w:sz="0" w:space="0" w:color="auto"/>
        <w:left w:val="none" w:sz="0" w:space="0" w:color="auto"/>
        <w:bottom w:val="none" w:sz="0" w:space="0" w:color="auto"/>
        <w:right w:val="none" w:sz="0" w:space="0" w:color="auto"/>
      </w:divBdr>
    </w:div>
    <w:div w:id="1420062224">
      <w:bodyDiv w:val="1"/>
      <w:marLeft w:val="0"/>
      <w:marRight w:val="0"/>
      <w:marTop w:val="0"/>
      <w:marBottom w:val="0"/>
      <w:divBdr>
        <w:top w:val="none" w:sz="0" w:space="0" w:color="auto"/>
        <w:left w:val="none" w:sz="0" w:space="0" w:color="auto"/>
        <w:bottom w:val="none" w:sz="0" w:space="0" w:color="auto"/>
        <w:right w:val="none" w:sz="0" w:space="0" w:color="auto"/>
      </w:divBdr>
    </w:div>
    <w:div w:id="1520896119">
      <w:bodyDiv w:val="1"/>
      <w:marLeft w:val="0"/>
      <w:marRight w:val="0"/>
      <w:marTop w:val="0"/>
      <w:marBottom w:val="0"/>
      <w:divBdr>
        <w:top w:val="none" w:sz="0" w:space="0" w:color="auto"/>
        <w:left w:val="none" w:sz="0" w:space="0" w:color="auto"/>
        <w:bottom w:val="none" w:sz="0" w:space="0" w:color="auto"/>
        <w:right w:val="none" w:sz="0" w:space="0" w:color="auto"/>
      </w:divBdr>
    </w:div>
    <w:div w:id="1532651395">
      <w:bodyDiv w:val="1"/>
      <w:marLeft w:val="0"/>
      <w:marRight w:val="0"/>
      <w:marTop w:val="0"/>
      <w:marBottom w:val="0"/>
      <w:divBdr>
        <w:top w:val="none" w:sz="0" w:space="0" w:color="auto"/>
        <w:left w:val="none" w:sz="0" w:space="0" w:color="auto"/>
        <w:bottom w:val="none" w:sz="0" w:space="0" w:color="auto"/>
        <w:right w:val="none" w:sz="0" w:space="0" w:color="auto"/>
      </w:divBdr>
    </w:div>
    <w:div w:id="1594581553">
      <w:bodyDiv w:val="1"/>
      <w:marLeft w:val="0"/>
      <w:marRight w:val="0"/>
      <w:marTop w:val="0"/>
      <w:marBottom w:val="0"/>
      <w:divBdr>
        <w:top w:val="none" w:sz="0" w:space="0" w:color="auto"/>
        <w:left w:val="none" w:sz="0" w:space="0" w:color="auto"/>
        <w:bottom w:val="none" w:sz="0" w:space="0" w:color="auto"/>
        <w:right w:val="none" w:sz="0" w:space="0" w:color="auto"/>
      </w:divBdr>
    </w:div>
    <w:div w:id="1613705929">
      <w:bodyDiv w:val="1"/>
      <w:marLeft w:val="0"/>
      <w:marRight w:val="0"/>
      <w:marTop w:val="0"/>
      <w:marBottom w:val="0"/>
      <w:divBdr>
        <w:top w:val="none" w:sz="0" w:space="0" w:color="auto"/>
        <w:left w:val="none" w:sz="0" w:space="0" w:color="auto"/>
        <w:bottom w:val="none" w:sz="0" w:space="0" w:color="auto"/>
        <w:right w:val="none" w:sz="0" w:space="0" w:color="auto"/>
      </w:divBdr>
    </w:div>
    <w:div w:id="1643659836">
      <w:bodyDiv w:val="1"/>
      <w:marLeft w:val="0"/>
      <w:marRight w:val="0"/>
      <w:marTop w:val="0"/>
      <w:marBottom w:val="0"/>
      <w:divBdr>
        <w:top w:val="none" w:sz="0" w:space="0" w:color="auto"/>
        <w:left w:val="none" w:sz="0" w:space="0" w:color="auto"/>
        <w:bottom w:val="none" w:sz="0" w:space="0" w:color="auto"/>
        <w:right w:val="none" w:sz="0" w:space="0" w:color="auto"/>
      </w:divBdr>
    </w:div>
    <w:div w:id="1722439078">
      <w:bodyDiv w:val="1"/>
      <w:marLeft w:val="0"/>
      <w:marRight w:val="0"/>
      <w:marTop w:val="0"/>
      <w:marBottom w:val="0"/>
      <w:divBdr>
        <w:top w:val="none" w:sz="0" w:space="0" w:color="auto"/>
        <w:left w:val="none" w:sz="0" w:space="0" w:color="auto"/>
        <w:bottom w:val="none" w:sz="0" w:space="0" w:color="auto"/>
        <w:right w:val="none" w:sz="0" w:space="0" w:color="auto"/>
      </w:divBdr>
    </w:div>
    <w:div w:id="1754351955">
      <w:bodyDiv w:val="1"/>
      <w:marLeft w:val="0"/>
      <w:marRight w:val="0"/>
      <w:marTop w:val="0"/>
      <w:marBottom w:val="0"/>
      <w:divBdr>
        <w:top w:val="none" w:sz="0" w:space="0" w:color="auto"/>
        <w:left w:val="none" w:sz="0" w:space="0" w:color="auto"/>
        <w:bottom w:val="none" w:sz="0" w:space="0" w:color="auto"/>
        <w:right w:val="none" w:sz="0" w:space="0" w:color="auto"/>
      </w:divBdr>
    </w:div>
    <w:div w:id="1916469969">
      <w:bodyDiv w:val="1"/>
      <w:marLeft w:val="0"/>
      <w:marRight w:val="0"/>
      <w:marTop w:val="0"/>
      <w:marBottom w:val="0"/>
      <w:divBdr>
        <w:top w:val="none" w:sz="0" w:space="0" w:color="auto"/>
        <w:left w:val="none" w:sz="0" w:space="0" w:color="auto"/>
        <w:bottom w:val="none" w:sz="0" w:space="0" w:color="auto"/>
        <w:right w:val="none" w:sz="0" w:space="0" w:color="auto"/>
      </w:divBdr>
      <w:divsChild>
        <w:div w:id="1256550133">
          <w:marLeft w:val="446"/>
          <w:marRight w:val="0"/>
          <w:marTop w:val="0"/>
          <w:marBottom w:val="0"/>
          <w:divBdr>
            <w:top w:val="none" w:sz="0" w:space="0" w:color="auto"/>
            <w:left w:val="none" w:sz="0" w:space="0" w:color="auto"/>
            <w:bottom w:val="none" w:sz="0" w:space="0" w:color="auto"/>
            <w:right w:val="none" w:sz="0" w:space="0" w:color="auto"/>
          </w:divBdr>
        </w:div>
        <w:div w:id="2104447900">
          <w:marLeft w:val="446"/>
          <w:marRight w:val="0"/>
          <w:marTop w:val="0"/>
          <w:marBottom w:val="0"/>
          <w:divBdr>
            <w:top w:val="none" w:sz="0" w:space="0" w:color="auto"/>
            <w:left w:val="none" w:sz="0" w:space="0" w:color="auto"/>
            <w:bottom w:val="none" w:sz="0" w:space="0" w:color="auto"/>
            <w:right w:val="none" w:sz="0" w:space="0" w:color="auto"/>
          </w:divBdr>
        </w:div>
        <w:div w:id="1716156008">
          <w:marLeft w:val="446"/>
          <w:marRight w:val="0"/>
          <w:marTop w:val="0"/>
          <w:marBottom w:val="0"/>
          <w:divBdr>
            <w:top w:val="none" w:sz="0" w:space="0" w:color="auto"/>
            <w:left w:val="none" w:sz="0" w:space="0" w:color="auto"/>
            <w:bottom w:val="none" w:sz="0" w:space="0" w:color="auto"/>
            <w:right w:val="none" w:sz="0" w:space="0" w:color="auto"/>
          </w:divBdr>
        </w:div>
        <w:div w:id="970549151">
          <w:marLeft w:val="446"/>
          <w:marRight w:val="0"/>
          <w:marTop w:val="0"/>
          <w:marBottom w:val="0"/>
          <w:divBdr>
            <w:top w:val="none" w:sz="0" w:space="0" w:color="auto"/>
            <w:left w:val="none" w:sz="0" w:space="0" w:color="auto"/>
            <w:bottom w:val="none" w:sz="0" w:space="0" w:color="auto"/>
            <w:right w:val="none" w:sz="0" w:space="0" w:color="auto"/>
          </w:divBdr>
        </w:div>
        <w:div w:id="974870064">
          <w:marLeft w:val="446"/>
          <w:marRight w:val="0"/>
          <w:marTop w:val="0"/>
          <w:marBottom w:val="0"/>
          <w:divBdr>
            <w:top w:val="none" w:sz="0" w:space="0" w:color="auto"/>
            <w:left w:val="none" w:sz="0" w:space="0" w:color="auto"/>
            <w:bottom w:val="none" w:sz="0" w:space="0" w:color="auto"/>
            <w:right w:val="none" w:sz="0" w:space="0" w:color="auto"/>
          </w:divBdr>
        </w:div>
        <w:div w:id="318846431">
          <w:marLeft w:val="446"/>
          <w:marRight w:val="0"/>
          <w:marTop w:val="0"/>
          <w:marBottom w:val="0"/>
          <w:divBdr>
            <w:top w:val="none" w:sz="0" w:space="0" w:color="auto"/>
            <w:left w:val="none" w:sz="0" w:space="0" w:color="auto"/>
            <w:bottom w:val="none" w:sz="0" w:space="0" w:color="auto"/>
            <w:right w:val="none" w:sz="0" w:space="0" w:color="auto"/>
          </w:divBdr>
        </w:div>
        <w:div w:id="1544754036">
          <w:marLeft w:val="446"/>
          <w:marRight w:val="0"/>
          <w:marTop w:val="0"/>
          <w:marBottom w:val="0"/>
          <w:divBdr>
            <w:top w:val="none" w:sz="0" w:space="0" w:color="auto"/>
            <w:left w:val="none" w:sz="0" w:space="0" w:color="auto"/>
            <w:bottom w:val="none" w:sz="0" w:space="0" w:color="auto"/>
            <w:right w:val="none" w:sz="0" w:space="0" w:color="auto"/>
          </w:divBdr>
        </w:div>
        <w:div w:id="1615597902">
          <w:marLeft w:val="446"/>
          <w:marRight w:val="0"/>
          <w:marTop w:val="0"/>
          <w:marBottom w:val="0"/>
          <w:divBdr>
            <w:top w:val="none" w:sz="0" w:space="0" w:color="auto"/>
            <w:left w:val="none" w:sz="0" w:space="0" w:color="auto"/>
            <w:bottom w:val="none" w:sz="0" w:space="0" w:color="auto"/>
            <w:right w:val="none" w:sz="0" w:space="0" w:color="auto"/>
          </w:divBdr>
        </w:div>
      </w:divsChild>
    </w:div>
    <w:div w:id="1949194673">
      <w:bodyDiv w:val="1"/>
      <w:marLeft w:val="0"/>
      <w:marRight w:val="0"/>
      <w:marTop w:val="0"/>
      <w:marBottom w:val="0"/>
      <w:divBdr>
        <w:top w:val="none" w:sz="0" w:space="0" w:color="auto"/>
        <w:left w:val="none" w:sz="0" w:space="0" w:color="auto"/>
        <w:bottom w:val="none" w:sz="0" w:space="0" w:color="auto"/>
        <w:right w:val="none" w:sz="0" w:space="0" w:color="auto"/>
      </w:divBdr>
    </w:div>
    <w:div w:id="1965035249">
      <w:bodyDiv w:val="1"/>
      <w:marLeft w:val="0"/>
      <w:marRight w:val="0"/>
      <w:marTop w:val="0"/>
      <w:marBottom w:val="0"/>
      <w:divBdr>
        <w:top w:val="none" w:sz="0" w:space="0" w:color="auto"/>
        <w:left w:val="none" w:sz="0" w:space="0" w:color="auto"/>
        <w:bottom w:val="none" w:sz="0" w:space="0" w:color="auto"/>
        <w:right w:val="none" w:sz="0" w:space="0" w:color="auto"/>
      </w:divBdr>
    </w:div>
    <w:div w:id="1966811873">
      <w:bodyDiv w:val="1"/>
      <w:marLeft w:val="0"/>
      <w:marRight w:val="0"/>
      <w:marTop w:val="0"/>
      <w:marBottom w:val="0"/>
      <w:divBdr>
        <w:top w:val="none" w:sz="0" w:space="0" w:color="auto"/>
        <w:left w:val="none" w:sz="0" w:space="0" w:color="auto"/>
        <w:bottom w:val="none" w:sz="0" w:space="0" w:color="auto"/>
        <w:right w:val="none" w:sz="0" w:space="0" w:color="auto"/>
      </w:divBdr>
    </w:div>
    <w:div w:id="2001304828">
      <w:bodyDiv w:val="1"/>
      <w:marLeft w:val="0"/>
      <w:marRight w:val="0"/>
      <w:marTop w:val="0"/>
      <w:marBottom w:val="0"/>
      <w:divBdr>
        <w:top w:val="none" w:sz="0" w:space="0" w:color="auto"/>
        <w:left w:val="none" w:sz="0" w:space="0" w:color="auto"/>
        <w:bottom w:val="none" w:sz="0" w:space="0" w:color="auto"/>
        <w:right w:val="none" w:sz="0" w:space="0" w:color="auto"/>
      </w:divBdr>
      <w:divsChild>
        <w:div w:id="1993676383">
          <w:marLeft w:val="446"/>
          <w:marRight w:val="0"/>
          <w:marTop w:val="0"/>
          <w:marBottom w:val="0"/>
          <w:divBdr>
            <w:top w:val="none" w:sz="0" w:space="0" w:color="auto"/>
            <w:left w:val="none" w:sz="0" w:space="0" w:color="auto"/>
            <w:bottom w:val="none" w:sz="0" w:space="0" w:color="auto"/>
            <w:right w:val="none" w:sz="0" w:space="0" w:color="auto"/>
          </w:divBdr>
        </w:div>
        <w:div w:id="1570462692">
          <w:marLeft w:val="446"/>
          <w:marRight w:val="0"/>
          <w:marTop w:val="0"/>
          <w:marBottom w:val="0"/>
          <w:divBdr>
            <w:top w:val="none" w:sz="0" w:space="0" w:color="auto"/>
            <w:left w:val="none" w:sz="0" w:space="0" w:color="auto"/>
            <w:bottom w:val="none" w:sz="0" w:space="0" w:color="auto"/>
            <w:right w:val="none" w:sz="0" w:space="0" w:color="auto"/>
          </w:divBdr>
        </w:div>
        <w:div w:id="496191232">
          <w:marLeft w:val="446"/>
          <w:marRight w:val="0"/>
          <w:marTop w:val="0"/>
          <w:marBottom w:val="0"/>
          <w:divBdr>
            <w:top w:val="none" w:sz="0" w:space="0" w:color="auto"/>
            <w:left w:val="none" w:sz="0" w:space="0" w:color="auto"/>
            <w:bottom w:val="none" w:sz="0" w:space="0" w:color="auto"/>
            <w:right w:val="none" w:sz="0" w:space="0" w:color="auto"/>
          </w:divBdr>
        </w:div>
        <w:div w:id="351498346">
          <w:marLeft w:val="446"/>
          <w:marRight w:val="0"/>
          <w:marTop w:val="0"/>
          <w:marBottom w:val="0"/>
          <w:divBdr>
            <w:top w:val="none" w:sz="0" w:space="0" w:color="auto"/>
            <w:left w:val="none" w:sz="0" w:space="0" w:color="auto"/>
            <w:bottom w:val="none" w:sz="0" w:space="0" w:color="auto"/>
            <w:right w:val="none" w:sz="0" w:space="0" w:color="auto"/>
          </w:divBdr>
        </w:div>
        <w:div w:id="148181350">
          <w:marLeft w:val="446"/>
          <w:marRight w:val="0"/>
          <w:marTop w:val="0"/>
          <w:marBottom w:val="0"/>
          <w:divBdr>
            <w:top w:val="none" w:sz="0" w:space="0" w:color="auto"/>
            <w:left w:val="none" w:sz="0" w:space="0" w:color="auto"/>
            <w:bottom w:val="none" w:sz="0" w:space="0" w:color="auto"/>
            <w:right w:val="none" w:sz="0" w:space="0" w:color="auto"/>
          </w:divBdr>
        </w:div>
        <w:div w:id="379670895">
          <w:marLeft w:val="446"/>
          <w:marRight w:val="0"/>
          <w:marTop w:val="0"/>
          <w:marBottom w:val="0"/>
          <w:divBdr>
            <w:top w:val="none" w:sz="0" w:space="0" w:color="auto"/>
            <w:left w:val="none" w:sz="0" w:space="0" w:color="auto"/>
            <w:bottom w:val="none" w:sz="0" w:space="0" w:color="auto"/>
            <w:right w:val="none" w:sz="0" w:space="0" w:color="auto"/>
          </w:divBdr>
        </w:div>
        <w:div w:id="1119684791">
          <w:marLeft w:val="446"/>
          <w:marRight w:val="0"/>
          <w:marTop w:val="0"/>
          <w:marBottom w:val="0"/>
          <w:divBdr>
            <w:top w:val="none" w:sz="0" w:space="0" w:color="auto"/>
            <w:left w:val="none" w:sz="0" w:space="0" w:color="auto"/>
            <w:bottom w:val="none" w:sz="0" w:space="0" w:color="auto"/>
            <w:right w:val="none" w:sz="0" w:space="0" w:color="auto"/>
          </w:divBdr>
        </w:div>
        <w:div w:id="1967663331">
          <w:marLeft w:val="446"/>
          <w:marRight w:val="0"/>
          <w:marTop w:val="0"/>
          <w:marBottom w:val="0"/>
          <w:divBdr>
            <w:top w:val="none" w:sz="0" w:space="0" w:color="auto"/>
            <w:left w:val="none" w:sz="0" w:space="0" w:color="auto"/>
            <w:bottom w:val="none" w:sz="0" w:space="0" w:color="auto"/>
            <w:right w:val="none" w:sz="0" w:space="0" w:color="auto"/>
          </w:divBdr>
        </w:div>
      </w:divsChild>
    </w:div>
    <w:div w:id="2029603892">
      <w:bodyDiv w:val="1"/>
      <w:marLeft w:val="0"/>
      <w:marRight w:val="0"/>
      <w:marTop w:val="0"/>
      <w:marBottom w:val="0"/>
      <w:divBdr>
        <w:top w:val="none" w:sz="0" w:space="0" w:color="auto"/>
        <w:left w:val="none" w:sz="0" w:space="0" w:color="auto"/>
        <w:bottom w:val="none" w:sz="0" w:space="0" w:color="auto"/>
        <w:right w:val="none" w:sz="0" w:space="0" w:color="auto"/>
      </w:divBdr>
    </w:div>
    <w:div w:id="20697646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4.png"/><Relationship Id="rId39" Type="http://schemas.openxmlformats.org/officeDocument/2006/relationships/hyperlink" Target="http://itlaw.wikia.com/wiki/Stakeholder" TargetMode="External"/><Relationship Id="rId21" Type="http://schemas.openxmlformats.org/officeDocument/2006/relationships/footer" Target="footer2.xml"/><Relationship Id="rId34" Type="http://schemas.openxmlformats.org/officeDocument/2006/relationships/image" Target="media/image8.png"/><Relationship Id="rId42" Type="http://schemas.openxmlformats.org/officeDocument/2006/relationships/image" Target="media/image12.emf"/><Relationship Id="rId47" Type="http://schemas.openxmlformats.org/officeDocument/2006/relationships/hyperlink" Target="http://iasecontent.disa.mil/cloud/Downloads/Cloud_Computing_SRG_v1r3.pdf" TargetMode="External"/><Relationship Id="rId50" Type="http://schemas.openxmlformats.org/officeDocument/2006/relationships/hyperlink" Target="https://gsa.gov/cloudsoos" TargetMode="External"/><Relationship Id="rId55" Type="http://schemas.openxmlformats.org/officeDocument/2006/relationships/hyperlink" Target="http://nvlpubs.nist.gov/nistpubs/Legacy/SP/nistspecialpublication800-144.pdf" TargetMode="External"/><Relationship Id="rId63" Type="http://schemas.openxmlformats.org/officeDocument/2006/relationships/hyperlink" Target="https://www.dhs.gov/sites/default/files/publications/digital-strategy/federal-cloud-computing-strategy.pdf" TargetMode="External"/><Relationship Id="rId68" Type="http://schemas.openxmlformats.org/officeDocument/2006/relationships/header" Target="header5.xml"/><Relationship Id="rId7" Type="http://schemas.openxmlformats.org/officeDocument/2006/relationships/customXml" Target="../customXml/item7.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webSettings" Target="webSettings.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2.png"/><Relationship Id="rId32" Type="http://schemas.openxmlformats.org/officeDocument/2006/relationships/image" Target="media/image7.png"/><Relationship Id="rId37" Type="http://schemas.openxmlformats.org/officeDocument/2006/relationships/image" Target="media/image10.emf"/><Relationship Id="rId40" Type="http://schemas.openxmlformats.org/officeDocument/2006/relationships/hyperlink" Target="http://itlaw.wikia.com/wiki/Cloud_computing_service" TargetMode="External"/><Relationship Id="rId45" Type="http://schemas.openxmlformats.org/officeDocument/2006/relationships/hyperlink" Target="https://cio.gov/wp-content/uploads/downloads/2013/04/CIOC-Federal-Shared-Services-Implementation-Guide.pdf" TargetMode="External"/><Relationship Id="rId53" Type="http://schemas.openxmlformats.org/officeDocument/2006/relationships/hyperlink" Target="http://nvlpubs.nist.gov/nistpubs/Legacy/SP/nistspecialpublication800-122.pdf" TargetMode="External"/><Relationship Id="rId58" Type="http://schemas.openxmlformats.org/officeDocument/2006/relationships/hyperlink" Target="http://nvlpubs.nist.gov/nistpubs/SpecialPublications/NIST.SP.800-37r1.pdf" TargetMode="External"/><Relationship Id="rId66" Type="http://schemas.openxmlformats.org/officeDocument/2006/relationships/hyperlink" Target="https://s3.amazonaws.com/sitesusa/wp-content/uploads/sites/482/2015/03/fedrampmemo.pdf" TargetMode="Externa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yperlink" Target="file:///C:\Users\Brittany%20Burkhart\Downloads\Cloud%20Computing%20Acquisition%20Playbook%20v8.0%2020170713%20kmk.docx" TargetMode="External"/><Relationship Id="rId28" Type="http://schemas.openxmlformats.org/officeDocument/2006/relationships/image" Target="media/image5.png"/><Relationship Id="rId36" Type="http://schemas.openxmlformats.org/officeDocument/2006/relationships/image" Target="media/image9.emf"/><Relationship Id="rId49" Type="http://schemas.openxmlformats.org/officeDocument/2006/relationships/hyperlink" Target="http://www.gao.gov/products/GAO-16-325" TargetMode="External"/><Relationship Id="rId57" Type="http://schemas.openxmlformats.org/officeDocument/2006/relationships/hyperlink" Target="https://bigdatawg.nist.gov/_uploadfiles/M0008_v1_7256814129.pdf" TargetMode="External"/><Relationship Id="rId61" Type="http://schemas.openxmlformats.org/officeDocument/2006/relationships/hyperlink" Target="http://nvlpubs.nist.gov/nistpubs/Legacy/SP/nistspecialpublication800-60v1r1.pdf" TargetMode="External"/><Relationship Id="rId10" Type="http://schemas.openxmlformats.org/officeDocument/2006/relationships/customXml" Target="../customXml/item10.xml"/><Relationship Id="rId19" Type="http://schemas.openxmlformats.org/officeDocument/2006/relationships/image" Target="media/image1.png"/><Relationship Id="rId31" Type="http://schemas.openxmlformats.org/officeDocument/2006/relationships/header" Target="header2.xml"/><Relationship Id="rId44" Type="http://schemas.openxmlformats.org/officeDocument/2006/relationships/hyperlink" Target="https://cio.gov/wp-content/uploads/downloads/2012/09/cloudbestpractices.pdf" TargetMode="External"/><Relationship Id="rId52" Type="http://schemas.openxmlformats.org/officeDocument/2006/relationships/hyperlink" Target="https://bigdatawg.nist.gov/_uploadfiles/M0007_v1_3376532289.pdf" TargetMode="External"/><Relationship Id="rId60" Type="http://schemas.openxmlformats.org/officeDocument/2006/relationships/hyperlink" Target="http://nvlpubs.nist.gov/nistpubs/SpecialPublications/NIST.SP.800-53Ar4.pdf" TargetMode="External"/><Relationship Id="rId65" Type="http://schemas.openxmlformats.org/officeDocument/2006/relationships/hyperlink" Target="https://www.gsa.gov/graphics/staffoffices/sec53guidance.pdf" TargetMode="Externa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3.xml"/><Relationship Id="rId27" Type="http://schemas.openxmlformats.org/officeDocument/2006/relationships/footer" Target="footer4.xml"/><Relationship Id="rId30" Type="http://schemas.openxmlformats.org/officeDocument/2006/relationships/image" Target="media/image6.png"/><Relationship Id="rId35" Type="http://schemas.openxmlformats.org/officeDocument/2006/relationships/header" Target="header4.xml"/><Relationship Id="rId43" Type="http://schemas.openxmlformats.org/officeDocument/2006/relationships/hyperlink" Target="http://ciog6.army.mil/Portals/1/AboutCIO/Mission/Strategy/20150424_Army_Cloud_Computing_Strategy.pdf" TargetMode="External"/><Relationship Id="rId48" Type="http://schemas.openxmlformats.org/officeDocument/2006/relationships/hyperlink" Target="http://dodcio.defense.gov/Portals/0/Documents/Cloud/DoD%20Cloud%20Computing%20Strategy%20Final%20with%20Memo%20-%20July%205%202012.pdf" TargetMode="External"/><Relationship Id="rId56" Type="http://schemas.openxmlformats.org/officeDocument/2006/relationships/hyperlink" Target="http://nvlpubs.nist.gov/nistpubs/Legacy/SP/nistspecialpublication800-145.pdf" TargetMode="External"/><Relationship Id="rId64" Type="http://schemas.openxmlformats.org/officeDocument/2006/relationships/hyperlink" Target="https://www.dhs.gov/sites/default/files/publications/digital-strategy/shared-services-strategy.pdf" TargetMode="External"/><Relationship Id="rId69" Type="http://schemas.openxmlformats.org/officeDocument/2006/relationships/header" Target="header6.xml"/><Relationship Id="rId8" Type="http://schemas.openxmlformats.org/officeDocument/2006/relationships/customXml" Target="../customXml/item8.xml"/><Relationship Id="rId51" Type="http://schemas.openxmlformats.org/officeDocument/2006/relationships/hyperlink" Target="http://nvlpubs.nist.gov/nistpubs/ir/2013/NIST.IR.7956.pdf"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3.tiff"/><Relationship Id="rId33" Type="http://schemas.openxmlformats.org/officeDocument/2006/relationships/header" Target="header3.xml"/><Relationship Id="rId38" Type="http://schemas.openxmlformats.org/officeDocument/2006/relationships/image" Target="media/image11.png"/><Relationship Id="rId46" Type="http://schemas.openxmlformats.org/officeDocument/2006/relationships/hyperlink" Target="http://iasecontent.disa.mil/stigs/pdf/unclass-best_practices_guide_for_dod_cloud_mission_owners_FINAL.pdf" TargetMode="External"/><Relationship Id="rId59" Type="http://schemas.openxmlformats.org/officeDocument/2006/relationships/hyperlink" Target="http://nvlpubs.nist.gov/nistpubs/SpecialPublications/NIST.SP.800-53r4.pdf" TargetMode="External"/><Relationship Id="rId67" Type="http://schemas.openxmlformats.org/officeDocument/2006/relationships/hyperlink" Target="https://obamawhitehouse.archives.gov/sites/default/files/omb/assets/egov_docs/sharedapproachmemo_0502.pdf" TargetMode="External"/><Relationship Id="rId20" Type="http://schemas.openxmlformats.org/officeDocument/2006/relationships/footer" Target="footer1.xml"/><Relationship Id="rId41" Type="http://schemas.openxmlformats.org/officeDocument/2006/relationships/hyperlink" Target="http://itlaw.wikia.com/wiki/Cloud_provider" TargetMode="External"/><Relationship Id="rId54" Type="http://schemas.openxmlformats.org/officeDocument/2006/relationships/hyperlink" Target="http://nvlpubs.nist.gov/nistpubs/Legacy/SP/nistspecialpublication800-125.pdf" TargetMode="External"/><Relationship Id="rId62" Type="http://schemas.openxmlformats.org/officeDocument/2006/relationships/hyperlink" Target="https://cio.gov/wp-content/uploads/downloads/2012/09/25-Point-Implementation-Plan-to-Reform-Federal-IT.pdf" TargetMode="External"/><Relationship Id="rId70" Type="http://schemas.openxmlformats.org/officeDocument/2006/relationships/footer" Target="footer5.xml"/></Relationships>
</file>

<file path=word/_rels/footnotes.xml.rels><?xml version="1.0" encoding="UTF-8" standalone="yes"?>
<Relationships xmlns="http://schemas.openxmlformats.org/package/2006/relationships"><Relationship Id="rId8" Type="http://schemas.openxmlformats.org/officeDocument/2006/relationships/hyperlink" Target="https://www.gsa.gov/MASDESKTOP/section7_3.html" TargetMode="External"/><Relationship Id="rId3" Type="http://schemas.openxmlformats.org/officeDocument/2006/relationships/hyperlink" Target="https://gsa.gov/portal/content/141191" TargetMode="External"/><Relationship Id="rId7" Type="http://schemas.openxmlformats.org/officeDocument/2006/relationships/hyperlink" Target="https://cio.gov/wp-content/uploads/downloads/2012/09/cloudbestpractices.pdf" TargetMode="External"/><Relationship Id="rId2" Type="http://schemas.openxmlformats.org/officeDocument/2006/relationships/hyperlink" Target="http://nvlpubs.nist.gov/nistpubs/Legacy/SP/nistspecialpublication800-145.pdf" TargetMode="External"/><Relationship Id="rId1" Type="http://schemas.openxmlformats.org/officeDocument/2006/relationships/hyperlink" Target="http://nvlpubs.nist.gov/nistpubs/Legacy/SP/nistspecialpublication800-145.pdf" TargetMode="External"/><Relationship Id="rId6" Type="http://schemas.openxmlformats.org/officeDocument/2006/relationships/hyperlink" Target="https://cio.gov/wp-content/uploads/downloads/2012/09/cloudbestpractices.pdf" TargetMode="External"/><Relationship Id="rId5" Type="http://schemas.openxmlformats.org/officeDocument/2006/relationships/hyperlink" Target="https://s3.amazonaws.com/sitesusa/wp-content/uploads/sites/482/2015/03/FedRAMP_Standard_Contractual_Clauses_062712_0.pdf" TargetMode="External"/><Relationship Id="rId10" Type="http://schemas.openxmlformats.org/officeDocument/2006/relationships/hyperlink" Target="https://bigdatawg.nist.gov/_uploadfiles/M0008_v1_7256814129.pdf" TargetMode="External"/><Relationship Id="rId4" Type="http://schemas.openxmlformats.org/officeDocument/2006/relationships/hyperlink" Target="https://www.dhs.gov/trusted-internet-connections" TargetMode="External"/><Relationship Id="rId9" Type="http://schemas.openxmlformats.org/officeDocument/2006/relationships/hyperlink" Target="http://www.acq.osd.mil/dpap/dars/dfars/html/current/239_76.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B080CB-5001-4355-BDA0-D21A4F3CA455}">
  <ds:schemaRefs>
    <ds:schemaRef ds:uri="http://schemas.openxmlformats.org/officeDocument/2006/bibliography"/>
  </ds:schemaRefs>
</ds:datastoreItem>
</file>

<file path=customXml/itemProps10.xml><?xml version="1.0" encoding="utf-8"?>
<ds:datastoreItem xmlns:ds="http://schemas.openxmlformats.org/officeDocument/2006/customXml" ds:itemID="{4FB05DE7-3051-472F-9E58-42F1EA3C7C35}">
  <ds:schemaRefs>
    <ds:schemaRef ds:uri="http://schemas.openxmlformats.org/officeDocument/2006/bibliography"/>
  </ds:schemaRefs>
</ds:datastoreItem>
</file>

<file path=customXml/itemProps11.xml><?xml version="1.0" encoding="utf-8"?>
<ds:datastoreItem xmlns:ds="http://schemas.openxmlformats.org/officeDocument/2006/customXml" ds:itemID="{38D18904-7526-4817-AB9E-E9A8FD099A59}">
  <ds:schemaRefs>
    <ds:schemaRef ds:uri="http://schemas.openxmlformats.org/officeDocument/2006/bibliography"/>
  </ds:schemaRefs>
</ds:datastoreItem>
</file>

<file path=customXml/itemProps12.xml><?xml version="1.0" encoding="utf-8"?>
<ds:datastoreItem xmlns:ds="http://schemas.openxmlformats.org/officeDocument/2006/customXml" ds:itemID="{37FDE689-D617-410B-BF1C-559D704E05E6}">
  <ds:schemaRefs>
    <ds:schemaRef ds:uri="http://schemas.openxmlformats.org/officeDocument/2006/bibliography"/>
  </ds:schemaRefs>
</ds:datastoreItem>
</file>

<file path=customXml/itemProps2.xml><?xml version="1.0" encoding="utf-8"?>
<ds:datastoreItem xmlns:ds="http://schemas.openxmlformats.org/officeDocument/2006/customXml" ds:itemID="{F4D1C3F8-FC7E-44E6-8F94-43BBE120A7F0}">
  <ds:schemaRefs>
    <ds:schemaRef ds:uri="http://schemas.openxmlformats.org/officeDocument/2006/bibliography"/>
  </ds:schemaRefs>
</ds:datastoreItem>
</file>

<file path=customXml/itemProps3.xml><?xml version="1.0" encoding="utf-8"?>
<ds:datastoreItem xmlns:ds="http://schemas.openxmlformats.org/officeDocument/2006/customXml" ds:itemID="{C03D63FC-28F4-41CA-A41A-86210A734A5C}">
  <ds:schemaRefs>
    <ds:schemaRef ds:uri="http://schemas.openxmlformats.org/officeDocument/2006/bibliography"/>
  </ds:schemaRefs>
</ds:datastoreItem>
</file>

<file path=customXml/itemProps4.xml><?xml version="1.0" encoding="utf-8"?>
<ds:datastoreItem xmlns:ds="http://schemas.openxmlformats.org/officeDocument/2006/customXml" ds:itemID="{F0781C69-647E-4E55-A793-666610492CA2}">
  <ds:schemaRefs>
    <ds:schemaRef ds:uri="http://schemas.openxmlformats.org/officeDocument/2006/bibliography"/>
  </ds:schemaRefs>
</ds:datastoreItem>
</file>

<file path=customXml/itemProps5.xml><?xml version="1.0" encoding="utf-8"?>
<ds:datastoreItem xmlns:ds="http://schemas.openxmlformats.org/officeDocument/2006/customXml" ds:itemID="{FD8F6B2E-2A5D-4877-AAF0-69513ED669C2}">
  <ds:schemaRefs>
    <ds:schemaRef ds:uri="http://schemas.openxmlformats.org/officeDocument/2006/bibliography"/>
  </ds:schemaRefs>
</ds:datastoreItem>
</file>

<file path=customXml/itemProps6.xml><?xml version="1.0" encoding="utf-8"?>
<ds:datastoreItem xmlns:ds="http://schemas.openxmlformats.org/officeDocument/2006/customXml" ds:itemID="{FBF4E01F-A488-46D4-99EC-011A277C8AB8}">
  <ds:schemaRefs>
    <ds:schemaRef ds:uri="http://schemas.openxmlformats.org/officeDocument/2006/bibliography"/>
  </ds:schemaRefs>
</ds:datastoreItem>
</file>

<file path=customXml/itemProps7.xml><?xml version="1.0" encoding="utf-8"?>
<ds:datastoreItem xmlns:ds="http://schemas.openxmlformats.org/officeDocument/2006/customXml" ds:itemID="{3F98B24E-0E77-4190-BE6C-3D5C5A255E35}">
  <ds:schemaRefs>
    <ds:schemaRef ds:uri="http://schemas.openxmlformats.org/officeDocument/2006/bibliography"/>
  </ds:schemaRefs>
</ds:datastoreItem>
</file>

<file path=customXml/itemProps8.xml><?xml version="1.0" encoding="utf-8"?>
<ds:datastoreItem xmlns:ds="http://schemas.openxmlformats.org/officeDocument/2006/customXml" ds:itemID="{AB56EDFC-8F87-4699-92EF-7CA3FDB1064C}">
  <ds:schemaRefs>
    <ds:schemaRef ds:uri="http://schemas.openxmlformats.org/officeDocument/2006/bibliography"/>
  </ds:schemaRefs>
</ds:datastoreItem>
</file>

<file path=customXml/itemProps9.xml><?xml version="1.0" encoding="utf-8"?>
<ds:datastoreItem xmlns:ds="http://schemas.openxmlformats.org/officeDocument/2006/customXml" ds:itemID="{1F0AC5BE-2925-4067-91F6-5DD015C25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20935</Words>
  <Characters>119336</Characters>
  <Application>Microsoft Office Word</Application>
  <DocSecurity>0</DocSecurity>
  <Lines>994</Lines>
  <Paragraphs>279</Paragraphs>
  <ScaleCrop>false</ScaleCrop>
  <HeadingPairs>
    <vt:vector size="2" baseType="variant">
      <vt:variant>
        <vt:lpstr>Title</vt:lpstr>
      </vt:variant>
      <vt:variant>
        <vt:i4>1</vt:i4>
      </vt:variant>
    </vt:vector>
  </HeadingPairs>
  <TitlesOfParts>
    <vt:vector size="1" baseType="lpstr">
      <vt:lpstr/>
    </vt:vector>
  </TitlesOfParts>
  <Company>General Services Administration</Company>
  <LinksUpToDate>false</LinksUpToDate>
  <CharactersWithSpaces>139992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WilliamKMcKelvy</dc:creator>
  <cp:lastModifiedBy>Konkel, Frank</cp:lastModifiedBy>
  <cp:revision>2</cp:revision>
  <cp:lastPrinted>2017-04-13T14:13:00Z</cp:lastPrinted>
  <dcterms:created xsi:type="dcterms:W3CDTF">2017-08-23T19:05:00Z</dcterms:created>
  <dcterms:modified xsi:type="dcterms:W3CDTF">2017-08-23T19:05:00Z</dcterms:modified>
</cp:coreProperties>
</file>